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Lynn Scott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GAYLORD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NASHVILLE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37214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Ryman Hospitality Properties, Inc.</w:t>
              </w:r>
            </w:hyperlink>
            <w:r>
              <w:rPr/>
              <w:t xml:space="preserve"> [ </w:t>
            </w:r>
            <w:r>
              <w:rPr>
                <w:rFonts w:ascii="Times;serif" w:hAnsi="Times;serif"/>
                <w:color w:val="0000FF"/>
                <w:sz w:val="24"/>
                <w:shd w:fill="FFFFFF" w:val="clear"/>
              </w:rPr>
              <w:t>RHP</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Secretary and GC</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88"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400"/>
        <w:gridCol w:w="401"/>
        <w:gridCol w:w="906"/>
        <w:gridCol w:w="801"/>
        <w:gridCol w:w="891"/>
        <w:gridCol w:w="681"/>
        <w:gridCol w:w="801"/>
        <w:gridCol w:w="936"/>
        <w:gridCol w:w="831"/>
        <w:gridCol w:w="846"/>
      </w:tblGrid>
      <w:tr>
        <w:trPr>
          <w:tblHeader w:val="true"/>
        </w:trPr>
        <w:tc>
          <w:tcPr>
            <w:tcW w:w="1188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748</w:t>
            </w:r>
            <w:r>
              <w:rPr>
                <w:rFonts w:ascii="Times;serif" w:hAnsi="Times;serif"/>
                <w:color w:val="008000"/>
                <w:position w:val="7"/>
                <w:sz w:val="16"/>
                <w:sz w:val="20"/>
                <w:shd w:fill="FFFFFF" w:val="clear"/>
              </w:rPr>
              <w:t>(2)</w:t>
            </w:r>
            <w:r>
              <w:rPr/>
              <w:t xml:space="preserve"> </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1,424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1,424</w:t>
            </w:r>
            <w:r>
              <w:rPr>
                <w:rFonts w:ascii="Times;serif" w:hAnsi="Times;serif"/>
                <w:color w:val="008000"/>
                <w:position w:val="7"/>
                <w:sz w:val="16"/>
                <w:sz w:val="20"/>
                <w:shd w:fill="FFFFFF" w:val="clear"/>
              </w:rPr>
              <w:t>(2)</w:t>
            </w:r>
            <w:r>
              <w:rPr/>
              <w:t xml:space="preserve"> </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2,439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2,439</w:t>
            </w:r>
            <w:r>
              <w:rPr>
                <w:rFonts w:ascii="Times;serif" w:hAnsi="Times;serif"/>
                <w:color w:val="008000"/>
                <w:position w:val="7"/>
                <w:sz w:val="16"/>
                <w:sz w:val="20"/>
                <w:shd w:fill="FFFFFF" w:val="clear"/>
              </w:rPr>
              <w:t>(2)</w:t>
            </w:r>
            <w:r>
              <w:rPr/>
              <w:t xml:space="preserve"> </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3,978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3,978</w:t>
            </w:r>
            <w:r>
              <w:rPr>
                <w:rFonts w:ascii="Times;serif" w:hAnsi="Times;serif"/>
                <w:color w:val="008000"/>
                <w:position w:val="7"/>
                <w:sz w:val="16"/>
                <w:sz w:val="20"/>
                <w:shd w:fill="FFFFFF" w:val="clear"/>
              </w:rPr>
              <w:t>(2)</w:t>
            </w:r>
            <w:r>
              <w:rPr/>
              <w:t xml:space="preserve"> </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 vests 100% on March 15,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 accordance with the terms of the reporting person's outstanding restricted stock unit awards, as a result of the $1.20 dividend per share of outstanding common stock paid by the issuer on July 15, 2026, the reporting person received additional restricted stock units in an amount based on the amount of the dividend per share and the closing price of the issuer's common stock traded on the NYSE on June 30,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Restricted stock unit vests on a one-to-one share basis 50% on March 15, 2027 and 50% on March 15, 2028.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Restricted stock unit vests on a one-to-one share basis ratably in 1/4 increments for four years beginning on March 15,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Restricted stock unit vests on a one-to-one share basis ratably in 1/4 increments for four years beginning on March 15, 2027.</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Scott J. Lynn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63912" TargetMode="External"/><Relationship Id="rId5" Type="http://schemas.openxmlformats.org/officeDocument/2006/relationships/hyperlink" Target="http://www.sec.gov/cgi-bin/browse-edgar?action=getcompany&amp;CIK=00010408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743</Words>
  <Characters>3892</Characters>
  <CharactersWithSpaces>4562</CharactersWithSpaces>
  <Paragraphs>123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