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390d1_8k.htm"/>
      <w:bookmarkStart w:id="1" w:name="kstm262439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9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September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2_edei--EntityRegistrantName_c2026"/>
      <w:bookmarkEnd w:id="4"/>
      <w:r>
        <w:rPr>
          <w:rFonts w:ascii="Times New Roman;Times;Serif" w:hAnsi="Times New Roman;Times;Serif"/>
          <w:b/>
          <w:i w:val="false"/>
          <w:caps w:val="false"/>
          <w:smallCaps w:val="false"/>
          <w:sz w:val="48"/>
        </w:rPr>
        <w:t>RYMAN HOSPITALITY PROPERTIES,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5_edei--EntityFileNumber_c20260901"/>
            <w:bookmarkEnd w:id="6"/>
            <w:r>
              <w:rPr>
                <w:b/>
                <w:sz w:val="20"/>
              </w:rPr>
              <w:t>1-13079</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8_edei--EntityTaxIdentificationNum"/>
            <w:bookmarkEnd w:id="7"/>
            <w:r>
              <w:rPr>
                <w:b/>
                <w:sz w:val="20"/>
              </w:rPr>
              <w:t>73-0664379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pPr>
      <w:r>
        <w:rPr/>
        <w:t> </w:t>
      </w:r>
    </w:p>
    <w:tbl>
      <w:tblPr>
        <w:tblW w:w="4345" w:type="dxa"/>
        <w:jc w:val="left"/>
        <w:tblInd w:w="0" w:type="dxa"/>
        <w:tblLayout w:type="fixed"/>
        <w:tblCellMar>
          <w:top w:w="0" w:type="dxa"/>
          <w:left w:w="0" w:type="dxa"/>
          <w:bottom w:w="0" w:type="dxa"/>
          <w:right w:w="0" w:type="dxa"/>
        </w:tblCellMar>
      </w:tblPr>
      <w:tblGrid>
        <w:gridCol w:w="75"/>
        <w:gridCol w:w="3275"/>
        <w:gridCol w:w="920"/>
        <w:gridCol w:w="75"/>
      </w:tblGrid>
      <w:tr>
        <w:trPr/>
        <w:tc>
          <w:tcPr>
            <w:tcW w:w="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One Gaylord Drive</w:t>
              <w:br/>
            </w:r>
            <w:bookmarkStart w:id="9" w:name="xdx_907_edei--EntityAddressCityOrTown_c2"/>
            <w:bookmarkEnd w:id="9"/>
            <w:r>
              <w:rPr>
                <w:rFonts w:ascii="Times New Roman;Times;Serif" w:hAnsi="Times New Roman;Times;Serif"/>
                <w:b/>
                <w:i w:val="false"/>
                <w:caps w:val="false"/>
                <w:smallCaps w:val="false"/>
                <w:sz w:val="20"/>
              </w:rPr>
              <w:t xml:space="preserve">Nashville, </w:t>
            </w:r>
            <w:bookmarkStart w:id="10" w:name="xdx_90E_edei--EntityAddressStateOrProvin"/>
            <w:bookmarkEnd w:id="10"/>
            <w:r>
              <w:rPr>
                <w:rFonts w:ascii="Times New Roman;Times;Serif" w:hAnsi="Times New Roman;Times;Serif"/>
                <w:b/>
                <w:i w:val="false"/>
                <w:caps w:val="false"/>
                <w:smallCaps w:val="false"/>
                <w:sz w:val="20"/>
              </w:rPr>
              <w:t>Tennessee</w:t>
            </w:r>
          </w:p>
        </w:tc>
        <w:tc>
          <w:tcPr>
            <w:tcW w:w="920" w:type="dxa"/>
            <w:tcBorders/>
            <w:vAlign w:val="center"/>
          </w:tcPr>
          <w:p>
            <w:pPr>
              <w:pStyle w:val="TableContents"/>
              <w:bidi w:val="0"/>
              <w:spacing w:before="0" w:after="283"/>
              <w:jc w:val="center"/>
              <w:rPr>
                <w:b/>
                <w:sz w:val="20"/>
              </w:rPr>
            </w:pPr>
            <w:bookmarkStart w:id="11" w:name="xdx_903_edei--EntityAddressPostalZipCode"/>
            <w:bookmarkEnd w:id="11"/>
            <w:r>
              <w:rPr>
                <w:b/>
                <w:sz w:val="20"/>
              </w:rPr>
              <w:t>37214</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b/>
                <w:sz w:val="20"/>
              </w:rPr>
            </w:pPr>
            <w:r>
              <w:rPr>
                <w:b/>
                <w:sz w:val="20"/>
              </w:rPr>
              <w:t>(Address of principal executive offices)</w:t>
            </w:r>
          </w:p>
        </w:tc>
        <w:tc>
          <w:tcPr>
            <w:tcW w:w="920" w:type="dxa"/>
            <w:tcBorders/>
            <w:vAlign w:val="center"/>
          </w:tcPr>
          <w:p>
            <w:pPr>
              <w:pStyle w:val="TableContents"/>
              <w:bidi w:val="0"/>
              <w:spacing w:before="0" w:after="283"/>
              <w:jc w:val="center"/>
              <w:rPr>
                <w:b/>
                <w:sz w:val="20"/>
              </w:rPr>
            </w:pPr>
            <w:r>
              <w:rPr>
                <w:b/>
                <w:sz w:val="20"/>
              </w:rPr>
              <w:t>(Zip Code)</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6_edei--CityAreaCode_c20260901__20"/>
      <w:bookmarkEnd w:id="12"/>
      <w:r>
        <w:rPr>
          <w:rFonts w:ascii="Times New Roman;Times;Serif" w:hAnsi="Times New Roman;Times;Serif"/>
          <w:b/>
          <w:i w:val="false"/>
          <w:caps w:val="false"/>
          <w:smallCaps w:val="false"/>
          <w:sz w:val="20"/>
        </w:rPr>
        <w:t>615) </w:t>
      </w:r>
      <w:bookmarkStart w:id="13" w:name="xdx_90D_edei--LocalPhoneNumber_c20260901"/>
      <w:bookmarkEnd w:id="13"/>
      <w:r>
        <w:rPr>
          <w:rFonts w:ascii="Times New Roman;Times;Serif" w:hAnsi="Times New Roman;Times;Serif"/>
          <w:b/>
          <w:i w:val="false"/>
          <w:caps w:val="false"/>
          <w:smallCaps w:val="false"/>
          <w:sz w:val="20"/>
        </w:rPr>
        <w:t>316-6000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firstLine="462"/>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C_edei--SolicitingMaterial_c202609"/>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B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75"/>
        <w:gridCol w:w="4670"/>
      </w:tblGrid>
      <w:tr>
        <w:trPr/>
        <w:tc>
          <w:tcPr>
            <w:tcW w:w="7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sz w:val="20"/>
              </w:rPr>
            </w:pPr>
            <w:r>
              <w:rPr>
                <w:sz w:val="20"/>
              </w:rPr>
              <w:t>Securities registered pursuant to Section 12(b) of the Act:</w:t>
            </w:r>
          </w:p>
        </w:tc>
      </w:tr>
    </w:tbl>
    <w:p>
      <w:pPr>
        <w:pStyle w:val="TextBody"/>
        <w:bidi w:val="0"/>
        <w:spacing w:before="0" w:after="0"/>
        <w:ind w:left="0" w:right="0" w:hanging="0"/>
        <w:jc w:val="both"/>
        <w:rPr>
          <w:caps w:val="false"/>
          <w:smallCaps w:val="false"/>
        </w:rPr>
      </w:pPr>
      <w:r>
        <w:rPr>
          <w:caps w:val="false"/>
          <w:smallCaps w:val="false"/>
        </w:rPr>
        <w:t>  </w:t>
      </w:r>
    </w:p>
    <w:tbl>
      <w:tblPr>
        <w:tblW w:w="6510" w:type="dxa"/>
        <w:jc w:val="left"/>
        <w:tblInd w:w="0" w:type="dxa"/>
        <w:tblLayout w:type="fixed"/>
        <w:tblCellMar>
          <w:top w:w="0" w:type="dxa"/>
          <w:left w:w="0" w:type="dxa"/>
          <w:bottom w:w="28" w:type="dxa"/>
          <w:right w:w="0" w:type="dxa"/>
        </w:tblCellMar>
      </w:tblPr>
      <w:tblGrid>
        <w:gridCol w:w="2540"/>
        <w:gridCol w:w="60"/>
        <w:gridCol w:w="1535"/>
        <w:gridCol w:w="60"/>
        <w:gridCol w:w="2315"/>
      </w:tblGrid>
      <w:tr>
        <w:trPr/>
        <w:tc>
          <w:tcPr>
            <w:tcW w:w="254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315" w:type="dxa"/>
            <w:tcBorders>
              <w:bottom w:val="single" w:sz="8" w:space="0" w:color="000000"/>
            </w:tcBorders>
            <w:vAlign w:val="center"/>
          </w:tcPr>
          <w:p>
            <w:pPr>
              <w:pStyle w:val="TableContents"/>
              <w:bidi w:val="0"/>
              <w:spacing w:before="0" w:after="283"/>
              <w:jc w:val="center"/>
              <w:rPr>
                <w:sz w:val="20"/>
              </w:rPr>
            </w:pPr>
            <w:r>
              <w:rPr>
                <w:sz w:val="20"/>
              </w:rPr>
              <w:t xml:space="preserve">Name of Each Exchange on </w:t>
              <w:br/>
              <w:t>Which Registered</w:t>
            </w:r>
          </w:p>
        </w:tc>
      </w:tr>
      <w:tr>
        <w:trPr/>
        <w:tc>
          <w:tcPr>
            <w:tcW w:w="2540" w:type="dxa"/>
            <w:tcBorders/>
            <w:tcMar>
              <w:bottom w:w="0" w:type="dxa"/>
            </w:tcMar>
            <w:vAlign w:val="center"/>
          </w:tcPr>
          <w:p>
            <w:pPr>
              <w:pStyle w:val="TableContents"/>
              <w:bidi w:val="0"/>
              <w:spacing w:before="0" w:after="283"/>
              <w:jc w:val="center"/>
              <w:rPr>
                <w:sz w:val="20"/>
              </w:rPr>
            </w:pPr>
            <w:bookmarkStart w:id="18" w:name="xdx_900_edei--Security12bTitle_c20260901"/>
            <w:bookmarkEnd w:id="18"/>
            <w:r>
              <w:rPr>
                <w:sz w:val="20"/>
              </w:rPr>
              <w:t>Common Stock, par value $.01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2_edei--TradingSymbol_c20260901__2"/>
            <w:bookmarkEnd w:id="19"/>
            <w:r>
              <w:rPr>
                <w:sz w:val="20"/>
              </w:rPr>
              <w:t>RHP</w:t>
            </w:r>
          </w:p>
        </w:tc>
        <w:tc>
          <w:tcPr>
            <w:tcW w:w="60" w:type="dxa"/>
            <w:tcBorders/>
            <w:tcMar>
              <w:bottom w:w="0" w:type="dxa"/>
            </w:tcMar>
            <w:vAlign w:val="center"/>
          </w:tcPr>
          <w:p>
            <w:pPr>
              <w:pStyle w:val="TableContents"/>
              <w:bidi w:val="0"/>
              <w:spacing w:before="0" w:after="283"/>
              <w:jc w:val="center"/>
              <w:rPr/>
            </w:pPr>
            <w:r>
              <w:rPr/>
              <w:t> </w:t>
            </w:r>
          </w:p>
        </w:tc>
        <w:tc>
          <w:tcPr>
            <w:tcW w:w="2315" w:type="dxa"/>
            <w:tcBorders/>
            <w:tcMar>
              <w:bottom w:w="0" w:type="dxa"/>
            </w:tcMar>
            <w:vAlign w:val="center"/>
          </w:tcPr>
          <w:p>
            <w:pPr>
              <w:pStyle w:val="TableContents"/>
              <w:bidi w:val="0"/>
              <w:spacing w:before="0" w:after="283"/>
              <w:jc w:val="center"/>
              <w:rPr>
                <w:sz w:val="20"/>
              </w:rPr>
            </w:pPr>
            <w:bookmarkStart w:id="20" w:name="xdx_90B_edei--SecurityExchangeName_c2026"/>
            <w:bookmarkEnd w:id="20"/>
            <w:r>
              <w:rPr>
                <w:sz w:val="20"/>
              </w:rPr>
              <w:t>New York Stock Exchange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8"/>
        <w:gridCol w:w="995"/>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sz w:val="20"/>
              </w:rPr>
            </w:pPr>
            <w:r>
              <w:rPr>
                <w:b/>
                <w:sz w:val="20"/>
              </w:rPr>
              <w:t>ITEM 2.01.</w:t>
            </w:r>
          </w:p>
        </w:tc>
        <w:tc>
          <w:tcPr>
            <w:tcW w:w="7295" w:type="dxa"/>
            <w:tcBorders/>
            <w:vAlign w:val="center"/>
          </w:tcPr>
          <w:p>
            <w:pPr>
              <w:pStyle w:val="TableContents"/>
              <w:bidi w:val="0"/>
              <w:spacing w:before="0" w:after="283"/>
              <w:jc w:val="left"/>
              <w:rPr>
                <w:b/>
              </w:rPr>
            </w:pPr>
            <w:r>
              <w:rPr>
                <w:b/>
              </w:rPr>
              <w:t>COMPLETION OF ACQUISITION OR DISPOSITION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 2026, a subsidiary of </w:t>
      </w:r>
      <w:r>
        <w:rPr>
          <w:rFonts w:ascii="Times New Roman;Times;Serif" w:hAnsi="Times New Roman;Times;Serif"/>
          <w:b w:val="false"/>
          <w:i w:val="false"/>
          <w:caps w:val="false"/>
          <w:smallCaps w:val="false"/>
          <w:sz w:val="20"/>
          <w:shd w:fill="FFFFFF" w:val="clear"/>
        </w:rPr>
        <w:t xml:space="preserve">Ryman Hospitality Properties, Inc. (the “Company”), RHP Property GLO, LLC (“Buyer”), </w:t>
      </w:r>
      <w:r>
        <w:rPr>
          <w:rFonts w:ascii="Times New Roman;Times;Serif" w:hAnsi="Times New Roman;Times;Serif"/>
          <w:b w:val="false"/>
          <w:i w:val="false"/>
          <w:caps w:val="false"/>
          <w:smallCaps w:val="false"/>
          <w:sz w:val="20"/>
        </w:rPr>
        <w:t xml:space="preserve">completed the previously announced purchase of </w:t>
      </w:r>
      <w:r>
        <w:rPr>
          <w:rFonts w:ascii="Times New Roman;Times;Serif" w:hAnsi="Times New Roman;Times;Serif"/>
          <w:b w:val="false"/>
          <w:i w:val="false"/>
          <w:caps w:val="false"/>
          <w:smallCaps w:val="false"/>
          <w:sz w:val="20"/>
          <w:shd w:fill="FFFFFF" w:val="clear"/>
        </w:rPr>
        <w:t xml:space="preserve">the JW Marriott Orlando Grande Lakes Resort and The Ritz-Carlton Orlando, Grande Lakes located in Orlando, Florida (collectively, the “Grande Lakes Acquisition”), pursuant to an Agreement of Purchase and Sale (the “Purchase Agreement”) with GLO Hotel Owner LLC. </w:t>
      </w:r>
      <w:r>
        <w:rPr>
          <w:rFonts w:ascii="Times New Roman;Times;Serif" w:hAnsi="Times New Roman;Times;Serif"/>
          <w:b w:val="false"/>
          <w:i w:val="false"/>
          <w:caps w:val="false"/>
          <w:smallCaps w:val="false"/>
          <w:sz w:val="20"/>
        </w:rPr>
        <w:t xml:space="preserve">The aggregate purchase price paid by Buyer was approximately $1.38 billion, which was funded with the net proceeds </w:t>
      </w:r>
      <w:r>
        <w:rPr>
          <w:rFonts w:ascii="Times New Roman;Times;Serif" w:hAnsi="Times New Roman;Times;Serif"/>
          <w:b w:val="false"/>
          <w:i w:val="false"/>
          <w:caps w:val="false"/>
          <w:smallCaps w:val="false"/>
          <w:sz w:val="20"/>
          <w:shd w:fill="FFFFFF" w:val="clear"/>
        </w:rPr>
        <w:t>of an underwritten registered public offering of 5,865,000 shares of common stock of the Company at a public offering price of $117.00 per share, which closed on August 12, 2026, a private placement of $700 million aggregate principal amount of 6.250% senior notes due 2035, which closed on August 25, 2026, and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 of the Purchase Agreement and the transactions pursuant thereto does not purport to be and is not complete and is subject to and qualified in its entirety by reference to the full text of the Purchase Agreement, which was filed as </w:t>
      </w:r>
      <w:r>
        <w:rPr>
          <w:rFonts w:ascii="Times New Roman;Times;Serif" w:hAnsi="Times New Roman;Times;Serif"/>
          <w:b w:val="false"/>
          <w:i w:val="false"/>
          <w:caps w:val="false"/>
          <w:smallCaps w:val="false"/>
          <w:sz w:val="20"/>
          <w:u w:val="single"/>
        </w:rPr>
        <w:t>Exhibit 10.1</w:t>
      </w:r>
      <w:r>
        <w:rPr>
          <w:rFonts w:ascii="Times New Roman;Times;Serif" w:hAnsi="Times New Roman;Times;Serif"/>
          <w:b w:val="false"/>
          <w:i w:val="false"/>
          <w:caps w:val="false"/>
          <w:smallCaps w:val="false"/>
          <w:sz w:val="20"/>
        </w:rPr>
        <w:t xml:space="preserve"> to the Company’s Current Report on Form 8-K, filed with the Securities and Exchange Commission on August 10, 2026,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95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b/>
                <w:sz w:val="20"/>
              </w:rPr>
            </w:pPr>
            <w:r>
              <w:rPr>
                <w:b/>
                <w:sz w:val="20"/>
              </w:rPr>
              <w:t>ITEM 7.01</w:t>
            </w:r>
          </w:p>
        </w:tc>
        <w:tc>
          <w:tcPr>
            <w:tcW w:w="3800" w:type="dxa"/>
            <w:tcBorders/>
            <w:vAlign w:val="center"/>
          </w:tcPr>
          <w:p>
            <w:pPr>
              <w:pStyle w:val="TableContents"/>
              <w:bidi w:val="0"/>
              <w:spacing w:before="0" w:after="283"/>
              <w:jc w:val="both"/>
              <w:rPr>
                <w:b/>
              </w:rPr>
            </w:pPr>
            <w:r>
              <w:rPr>
                <w:b/>
              </w:rPr>
              <w:t>REGULATION FD DISCLOSURE</w:t>
            </w:r>
            <w:r>
              <w:rPr>
                <w:b/>
                <w:caps/>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 2026, the Company issued a press release announcing the closing of the Grande Lakes Acquisition and revising guidance for certain financial measures for 2026. A copy of the press release is furnished herewith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Item 7.01 in this Current Report on Form 8-K shall not be deemed “filed” for purposes of Section 18 of the Securities Exchange Act of 1934, as amended (the “Exchange Act”), or otherwise subject to the liabilities of that section and shall not be deemed incorporated by reference in any filing made by the Company under the Securities Act of 1933, as amended, or the Exchange Act, except as set forth by specific reference herein or in such filing.</w:t>
      </w:r>
    </w:p>
    <w:p>
      <w:pPr>
        <w:pStyle w:val="TextBody"/>
        <w:bidi w:val="0"/>
        <w:spacing w:before="0" w:after="0"/>
        <w:ind w:left="0" w:right="0" w:hanging="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95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b/>
                <w:sz w:val="20"/>
              </w:rPr>
            </w:pPr>
            <w:r>
              <w:rPr>
                <w:b/>
                <w:sz w:val="20"/>
              </w:rPr>
              <w:t>ITEM 9.01</w:t>
            </w:r>
          </w:p>
        </w:tc>
        <w:tc>
          <w:tcPr>
            <w:tcW w:w="50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45"/>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44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624390d1_ex99-1.htm">
              <w:r>
                <w:rPr>
                  <w:rStyle w:val="InternetLink"/>
                </w:rPr>
                <w:t>99.1</w:t>
              </w:r>
            </w:hyperlink>
          </w:p>
        </w:tc>
        <w:tc>
          <w:tcPr>
            <w:tcW w:w="7385" w:type="dxa"/>
            <w:tcBorders/>
            <w:vAlign w:val="center"/>
          </w:tcPr>
          <w:p>
            <w:pPr>
              <w:pStyle w:val="TableContents"/>
              <w:bidi w:val="0"/>
              <w:spacing w:before="0" w:after="283"/>
              <w:jc w:val="left"/>
              <w:rPr/>
            </w:pPr>
            <w:hyperlink w:anchor="tm2624390d1_ex99-1.htm">
              <w:r>
                <w:rPr>
                  <w:rStyle w:val="InternetLink"/>
                </w:rPr>
                <w:t>Press Release of Ryman Hospitality Properties, Inc. dated September 1,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38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2030"/>
        <w:gridCol w:w="545"/>
        <w:gridCol w:w="465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2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r>
          </w:p>
        </w:tc>
      </w:tr>
      <w:tr>
        <w:trPr/>
        <w:tc>
          <w:tcPr>
            <w:tcW w:w="72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J. Lynn</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J. Lynn</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4390d1_ex99-1.htm"/>
      <w:bookmarkStart w:id="23" w:name="kstm2624390d1_ex99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0507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075" cy="828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 Closes Acquisition of Grande Lakes Orlando Resort and Updates 2026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 (September 1, 2026) – Ryman Hospitality Properties, Inc. (NYSE: RHP) (“Ryman” or the “Company”), a lodging real estate investment trust (“REIT”) specializing in group-oriented, upscale convention center resorts and entertainment experiences, announced today it has closed the previously announced acquisition of Grande Lakes Orlando Resort (“Grande Lakes Orlando”) in Orlando,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Fioravanti, President and Chief Executive Officer of Ryman Hospitality Properties, said, “I want to thank the Ryman team for their dedication and execution in successfully completing this acquisition. I also want to recognize Trinity Investments for their collaboration throughout the transaction. The addition of Grande Lakes Orlando represents a compelling strategic fit for Ryman. This property expands our group customer rotation opportunities and further strengthens our position in the nation’s largest meetings market, which we believe will enhance our ability to generate sustainable growth and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on more than 400 acres, Grande Lakes Orlando is one of the largest resorts in the greater Orlando area and includes two hotels, a 1,010-room JW Marriott and a 582-room Ritz-Carlton. Grande Lakes Orlando features approximately 320,000 square feet of meeting and event space and an array of world-class amenities, including the Ritz-Carlton spa &amp; fitness center; 14 food and beverage outlets; the Grande Lakes Waterpark; and a Greg Norman-designed 18-hole golf course at The Ritz-Carlton Golf &amp; Tennis Club, home of the PNC Championship. The purchase price for the acquisition, subject to certain purchase price adjustments, totaled approximately $1.38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updating its 2026 business performance outlook to include the expected contribution from Grande Lakes Orlando based on information available as of September 1, 2026. The Company does not expect to update the guidance provided below before next quarter’s earnings release. However, the Company may update or withdraw its full business outlook or any portion thereof at any time for any reason.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0"/>
        <w:gridCol w:w="60"/>
        <w:gridCol w:w="125"/>
        <w:gridCol w:w="485"/>
        <w:gridCol w:w="185"/>
        <w:gridCol w:w="60"/>
        <w:gridCol w:w="125"/>
        <w:gridCol w:w="485"/>
        <w:gridCol w:w="185"/>
        <w:gridCol w:w="60"/>
        <w:gridCol w:w="163"/>
        <w:gridCol w:w="637"/>
        <w:gridCol w:w="185"/>
        <w:gridCol w:w="60"/>
        <w:gridCol w:w="125"/>
        <w:gridCol w:w="485"/>
        <w:gridCol w:w="185"/>
        <w:gridCol w:w="60"/>
        <w:gridCol w:w="125"/>
        <w:gridCol w:w="485"/>
        <w:gridCol w:w="185"/>
        <w:gridCol w:w="60"/>
        <w:gridCol w:w="163"/>
        <w:gridCol w:w="637"/>
        <w:gridCol w:w="185"/>
        <w:gridCol w:w="60"/>
        <w:gridCol w:w="193"/>
        <w:gridCol w:w="636"/>
        <w:gridCol w:w="126"/>
      </w:tblGrid>
      <w:tr>
        <w:trPr/>
        <w:tc>
          <w:tcPr>
            <w:tcW w:w="368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10" w:type="dxa"/>
            <w:gridSpan w:val="10"/>
            <w:tcBorders/>
            <w:vAlign w:val="center"/>
          </w:tcPr>
          <w:p>
            <w:pPr>
              <w:pStyle w:val="TableContents"/>
              <w:bidi w:val="0"/>
              <w:spacing w:before="0" w:after="283"/>
              <w:jc w:val="center"/>
              <w:rPr>
                <w:b/>
                <w:sz w:val="20"/>
              </w:rPr>
            </w:pPr>
            <w:r>
              <w:rPr>
                <w:b/>
                <w:sz w:val="20"/>
              </w:rPr>
              <w:t>Guidance Range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10"/>
            <w:tcBorders/>
            <w:vAlign w:val="center"/>
          </w:tcPr>
          <w:p>
            <w:pPr>
              <w:pStyle w:val="TableContents"/>
              <w:bidi w:val="0"/>
              <w:spacing w:before="0" w:after="283"/>
              <w:jc w:val="center"/>
              <w:rPr>
                <w:b/>
                <w:sz w:val="20"/>
              </w:rPr>
            </w:pPr>
            <w:r>
              <w:rPr>
                <w:b/>
                <w:sz w:val="20"/>
              </w:rPr>
              <w:t>Prior Guidance Range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ind w:left="0" w:right="0" w:hanging="180"/>
              <w:jc w:val="left"/>
              <w:rPr/>
            </w:pPr>
            <w:r>
              <w:rPr/>
              <w:t> </w:t>
            </w:r>
          </w:p>
        </w:tc>
      </w:tr>
      <w:tr>
        <w:trPr/>
        <w:tc>
          <w:tcPr>
            <w:tcW w:w="3680" w:type="dxa"/>
            <w:tcBorders/>
            <w:vAlign w:val="center"/>
          </w:tcPr>
          <w:p>
            <w:pPr>
              <w:pStyle w:val="TableContents"/>
              <w:bidi w:val="0"/>
              <w:spacing w:before="0" w:after="283"/>
              <w:jc w:val="left"/>
              <w:rPr>
                <w:sz w:val="20"/>
              </w:rPr>
            </w:pPr>
            <w:r>
              <w:rPr>
                <w:sz w:val="20"/>
              </w:rPr>
              <w:t>(in millions, except per share figures)</w:t>
            </w:r>
          </w:p>
        </w:tc>
        <w:tc>
          <w:tcPr>
            <w:tcW w:w="60" w:type="dxa"/>
            <w:tcBorders/>
            <w:vAlign w:val="center"/>
          </w:tcPr>
          <w:p>
            <w:pPr>
              <w:pStyle w:val="TableContents"/>
              <w:bidi w:val="0"/>
              <w:spacing w:before="0" w:after="283"/>
              <w:jc w:val="left"/>
              <w:rPr/>
            </w:pPr>
            <w:r>
              <w:rPr/>
              <w:t> </w:t>
            </w:r>
          </w:p>
        </w:tc>
        <w:tc>
          <w:tcPr>
            <w:tcW w:w="251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For Full Year 2026 </w:t>
            </w:r>
            <w:r>
              <w:rPr>
                <w:b/>
                <w:position w:val="7"/>
                <w:sz w:val="16"/>
                <w:sz w:val="20"/>
              </w:rPr>
              <w:t>(1)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Full Year 2026 </w:t>
            </w:r>
            <w:r>
              <w:rPr>
                <w:b/>
                <w:position w:val="7"/>
                <w:sz w:val="16"/>
                <w:sz w:val="20"/>
              </w:rPr>
              <w:t>(2)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 to</w:t>
            </w:r>
          </w:p>
        </w:tc>
        <w:tc>
          <w:tcPr>
            <w:tcW w:w="126" w:type="dxa"/>
            <w:tcBorders/>
            <w:vAlign w:val="center"/>
          </w:tcPr>
          <w:p>
            <w:pPr>
              <w:pStyle w:val="TableContents"/>
              <w:bidi w:val="0"/>
              <w:spacing w:before="0" w:after="283"/>
              <w:ind w:left="0" w:right="0" w:hanging="180"/>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Midpoint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Midpoint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Midpoint</w:t>
            </w:r>
          </w:p>
        </w:tc>
        <w:tc>
          <w:tcPr>
            <w:tcW w:w="126" w:type="dxa"/>
            <w:tcBorders/>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Same-store Hospitality RevPAR growth</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3.50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4.50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sz w:val="20"/>
              </w:rPr>
            </w:pPr>
            <w:r>
              <w:rPr>
                <w:sz w:val="20"/>
              </w:rPr>
              <w:t>4.00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3.50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4.50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sz w:val="20"/>
              </w:rPr>
            </w:pPr>
            <w:r>
              <w:rPr>
                <w:sz w:val="20"/>
              </w:rPr>
              <w:t>4.00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sz w:val="20"/>
              </w:rPr>
            </w:pPr>
            <w:r>
              <w:rPr>
                <w:sz w:val="20"/>
              </w:rPr>
              <w:t>-</w:t>
            </w:r>
          </w:p>
        </w:tc>
        <w:tc>
          <w:tcPr>
            <w:tcW w:w="126"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3680" w:type="dxa"/>
            <w:tcBorders/>
            <w:shd w:fill="FFFFFF" w:val="clear"/>
            <w:vAlign w:val="center"/>
          </w:tcPr>
          <w:p>
            <w:pPr>
              <w:pStyle w:val="TableContents"/>
              <w:bidi w:val="0"/>
              <w:spacing w:before="0" w:after="283"/>
              <w:jc w:val="left"/>
              <w:rPr>
                <w:sz w:val="20"/>
              </w:rPr>
            </w:pPr>
            <w:r>
              <w:rPr>
                <w:sz w:val="20"/>
              </w:rPr>
              <w:t>Same-store Hospitality Total RevPAR growth</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3.50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4.50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4.00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3.50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4.50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4.00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sz w:val="20"/>
              </w:rPr>
            </w:pPr>
            <w:r>
              <w:rPr>
                <w:sz w:val="20"/>
              </w:rPr>
              <w:t>-</w:t>
            </w:r>
          </w:p>
        </w:tc>
        <w:tc>
          <w:tcPr>
            <w:tcW w:w="126"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sz w:val="20"/>
                <w:u w:val="single"/>
              </w:rPr>
            </w:pPr>
            <w:r>
              <w:rPr>
                <w:sz w:val="20"/>
                <w:u w:val="single"/>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 xml:space="preserve">Hospitality (same-store) </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484.5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489.5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487.0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484.5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489.5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487.0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20"/>
              </w:rPr>
            </w:pPr>
            <w:r>
              <w:rPr>
                <w:sz w:val="20"/>
              </w:rPr>
              <w:t>$</w:t>
            </w:r>
          </w:p>
        </w:tc>
        <w:tc>
          <w:tcPr>
            <w:tcW w:w="636" w:type="dxa"/>
            <w:tcBorders/>
            <w:shd w:fill="CCEEFF" w:val="clear"/>
            <w:vAlign w:val="center"/>
          </w:tcPr>
          <w:p>
            <w:pPr>
              <w:pStyle w:val="TableContents"/>
              <w:bidi w:val="0"/>
              <w:spacing w:before="0" w:after="283"/>
              <w:jc w:val="right"/>
              <w:rPr>
                <w:sz w:val="20"/>
              </w:rPr>
            </w:pPr>
            <w:r>
              <w:rPr>
                <w:sz w:val="20"/>
              </w:rPr>
              <w:t>-</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JW Marriott Desert Ridge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36.0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36.0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sz w:val="20"/>
              </w:rPr>
            </w:pPr>
            <w:r>
              <w:rPr>
                <w:sz w:val="20"/>
              </w:rPr>
              <w:t>-</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Grande Lakes Orlando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sz w:val="20"/>
              </w:rPr>
            </w:pPr>
            <w:r>
              <w:rPr>
                <w:sz w:val="20"/>
              </w:rPr>
              <w:t>12.5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sz w:val="20"/>
              </w:rPr>
            </w:pPr>
            <w:r>
              <w:rPr>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sz w:val="20"/>
              </w:rPr>
            </w:pPr>
            <w:r>
              <w:rPr>
                <w:sz w:val="20"/>
              </w:rPr>
              <w:t>12.5</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Entertainment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74.8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79.5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77.1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74.8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79.5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77.1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sz w:val="20"/>
              </w:rPr>
            </w:pPr>
            <w:r>
              <w:rPr>
                <w:sz w:val="20"/>
              </w:rPr>
              <w:t>-</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(49.0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(49.8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(49.0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(49.8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b/>
                <w:sz w:val="20"/>
              </w:rPr>
            </w:pPr>
            <w:r>
              <w:rPr>
                <w:b/>
                <w:sz w:val="20"/>
              </w:rPr>
              <w:t>Consolidated 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485" w:type="dxa"/>
            <w:tcBorders/>
            <w:shd w:fill="FFFFFF" w:val="clear"/>
            <w:vAlign w:val="center"/>
          </w:tcPr>
          <w:p>
            <w:pPr>
              <w:pStyle w:val="TableContents"/>
              <w:bidi w:val="0"/>
              <w:spacing w:before="0" w:after="283"/>
              <w:jc w:val="right"/>
              <w:rPr>
                <w:b/>
                <w:sz w:val="20"/>
              </w:rPr>
            </w:pPr>
            <w:r>
              <w:rPr>
                <w:b/>
                <w:sz w:val="20"/>
              </w:rPr>
              <w:t>554.8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485" w:type="dxa"/>
            <w:tcBorders/>
            <w:shd w:fill="FFFFFF" w:val="clear"/>
            <w:vAlign w:val="center"/>
          </w:tcPr>
          <w:p>
            <w:pPr>
              <w:pStyle w:val="TableContents"/>
              <w:bidi w:val="0"/>
              <w:spacing w:before="0" w:after="283"/>
              <w:jc w:val="right"/>
              <w:rPr>
                <w:b/>
                <w:sz w:val="20"/>
              </w:rPr>
            </w:pPr>
            <w:r>
              <w:rPr>
                <w:b/>
                <w:sz w:val="20"/>
              </w:rPr>
              <w:t>571.0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sz w:val="20"/>
              </w:rPr>
            </w:pPr>
            <w:r>
              <w:rPr>
                <w:b/>
                <w:sz w:val="20"/>
              </w:rPr>
              <w:t>$</w:t>
            </w:r>
          </w:p>
        </w:tc>
        <w:tc>
          <w:tcPr>
            <w:tcW w:w="637" w:type="dxa"/>
            <w:tcBorders/>
            <w:shd w:fill="FFFFFF" w:val="clear"/>
            <w:vAlign w:val="center"/>
          </w:tcPr>
          <w:p>
            <w:pPr>
              <w:pStyle w:val="TableContents"/>
              <w:bidi w:val="0"/>
              <w:spacing w:before="0" w:after="283"/>
              <w:jc w:val="right"/>
              <w:rPr>
                <w:b/>
                <w:sz w:val="20"/>
              </w:rPr>
            </w:pPr>
            <w:r>
              <w:rPr>
                <w:b/>
                <w:sz w:val="20"/>
              </w:rPr>
              <w:t>562.9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485" w:type="dxa"/>
            <w:tcBorders/>
            <w:shd w:fill="FFFFFF" w:val="clear"/>
            <w:vAlign w:val="center"/>
          </w:tcPr>
          <w:p>
            <w:pPr>
              <w:pStyle w:val="TableContents"/>
              <w:bidi w:val="0"/>
              <w:spacing w:before="0" w:after="283"/>
              <w:jc w:val="right"/>
              <w:rPr>
                <w:b/>
                <w:sz w:val="20"/>
              </w:rPr>
            </w:pPr>
            <w:r>
              <w:rPr>
                <w:b/>
                <w:sz w:val="20"/>
              </w:rPr>
              <w:t>543.8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485" w:type="dxa"/>
            <w:tcBorders/>
            <w:shd w:fill="FFFFFF" w:val="clear"/>
            <w:vAlign w:val="center"/>
          </w:tcPr>
          <w:p>
            <w:pPr>
              <w:pStyle w:val="TableContents"/>
              <w:bidi w:val="0"/>
              <w:spacing w:before="0" w:after="283"/>
              <w:jc w:val="right"/>
              <w:rPr>
                <w:b/>
                <w:sz w:val="20"/>
              </w:rPr>
            </w:pPr>
            <w:r>
              <w:rPr>
                <w:b/>
                <w:sz w:val="20"/>
              </w:rPr>
              <w:t>557.0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sz w:val="20"/>
              </w:rPr>
            </w:pPr>
            <w:r>
              <w:rPr>
                <w:b/>
                <w:sz w:val="20"/>
              </w:rPr>
              <w:t>$</w:t>
            </w:r>
          </w:p>
        </w:tc>
        <w:tc>
          <w:tcPr>
            <w:tcW w:w="637" w:type="dxa"/>
            <w:tcBorders/>
            <w:shd w:fill="FFFFFF" w:val="clear"/>
            <w:vAlign w:val="center"/>
          </w:tcPr>
          <w:p>
            <w:pPr>
              <w:pStyle w:val="TableContents"/>
              <w:bidi w:val="0"/>
              <w:spacing w:before="0" w:after="283"/>
              <w:jc w:val="right"/>
              <w:rPr>
                <w:b/>
                <w:sz w:val="20"/>
              </w:rPr>
            </w:pPr>
            <w:r>
              <w:rPr>
                <w:b/>
                <w:sz w:val="20"/>
              </w:rPr>
              <w:t>550.4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b/>
                <w:sz w:val="20"/>
              </w:rPr>
            </w:pPr>
            <w:r>
              <w:rPr>
                <w:b/>
                <w:sz w:val="20"/>
              </w:rPr>
              <w:t>$</w:t>
            </w:r>
          </w:p>
        </w:tc>
        <w:tc>
          <w:tcPr>
            <w:tcW w:w="636" w:type="dxa"/>
            <w:tcBorders/>
            <w:shd w:fill="FFFFFF" w:val="clear"/>
            <w:vAlign w:val="center"/>
          </w:tcPr>
          <w:p>
            <w:pPr>
              <w:pStyle w:val="TableContents"/>
              <w:bidi w:val="0"/>
              <w:spacing w:before="0" w:after="283"/>
              <w:jc w:val="right"/>
              <w:rPr>
                <w:b/>
                <w:sz w:val="20"/>
              </w:rPr>
            </w:pPr>
            <w:r>
              <w:rPr>
                <w:b/>
                <w:sz w:val="20"/>
              </w:rPr>
              <w:t>12.5</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sz w:val="20"/>
                <w:u w:val="single"/>
              </w:rPr>
            </w:pPr>
            <w:r>
              <w:rPr>
                <w:sz w:val="20"/>
                <w:u w:val="single"/>
              </w:rPr>
              <w:t>Adjusted EBITDA</w:t>
            </w:r>
            <w:r>
              <w:rPr>
                <w:i/>
                <w:sz w:val="20"/>
                <w:u w:val="single"/>
              </w:rPr>
              <w:t>re</w:t>
            </w:r>
            <w:r>
              <w:rPr>
                <w:sz w:val="20"/>
                <w:u w:val="singl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 xml:space="preserve">Hospitality (same-store) </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728.0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742.0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735.0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728.0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742.0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735.0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20"/>
              </w:rPr>
            </w:pPr>
            <w:r>
              <w:rPr>
                <w:sz w:val="20"/>
              </w:rPr>
              <w:t>$</w:t>
            </w:r>
          </w:p>
        </w:tc>
        <w:tc>
          <w:tcPr>
            <w:tcW w:w="636" w:type="dxa"/>
            <w:tcBorders/>
            <w:shd w:fill="CCEEFF" w:val="clear"/>
            <w:vAlign w:val="center"/>
          </w:tcPr>
          <w:p>
            <w:pPr>
              <w:pStyle w:val="TableContents"/>
              <w:bidi w:val="0"/>
              <w:spacing w:before="0" w:after="283"/>
              <w:jc w:val="right"/>
              <w:rPr>
                <w:sz w:val="20"/>
              </w:rPr>
            </w:pPr>
            <w:r>
              <w:rPr>
                <w:sz w:val="20"/>
              </w:rPr>
              <w:t>-</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JW Marriott Desert Ridge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69.0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73.0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71.0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69.0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73.0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71.0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sz w:val="20"/>
              </w:rPr>
            </w:pPr>
            <w:r>
              <w:rPr>
                <w:sz w:val="20"/>
              </w:rPr>
              <w:t>-</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Grande Lakes Orlando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sz w:val="20"/>
              </w:rPr>
            </w:pPr>
            <w:r>
              <w:rPr>
                <w:sz w:val="20"/>
              </w:rPr>
              <w:t>32.5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sz w:val="20"/>
              </w:rPr>
            </w:pPr>
            <w:r>
              <w:rPr>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sz w:val="20"/>
              </w:rPr>
            </w:pPr>
            <w:r>
              <w:rPr>
                <w:sz w:val="20"/>
              </w:rPr>
              <w:t>32.5</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Entertainment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120.0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130.0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125.0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120.0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130.0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125.0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sz w:val="20"/>
              </w:rPr>
            </w:pPr>
            <w:r>
              <w:rPr>
                <w:sz w:val="20"/>
              </w:rPr>
              <w:t>-</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(39.0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(39.0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b/>
                <w:sz w:val="20"/>
              </w:rPr>
            </w:pPr>
            <w:r>
              <w:rPr>
                <w:b/>
                <w:sz w:val="20"/>
              </w:rPr>
              <w:t>Consolidated Adjusted EBITDA</w:t>
            </w:r>
            <w:r>
              <w:rPr>
                <w:b/>
                <w:i/>
                <w:sz w:val="20"/>
              </w:rPr>
              <w:t>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485" w:type="dxa"/>
            <w:tcBorders/>
            <w:shd w:fill="FFFFFF" w:val="clear"/>
            <w:vAlign w:val="center"/>
          </w:tcPr>
          <w:p>
            <w:pPr>
              <w:pStyle w:val="TableContents"/>
              <w:bidi w:val="0"/>
              <w:spacing w:before="0" w:after="283"/>
              <w:jc w:val="right"/>
              <w:rPr>
                <w:b/>
                <w:sz w:val="20"/>
              </w:rPr>
            </w:pPr>
            <w:r>
              <w:rPr>
                <w:b/>
                <w:sz w:val="20"/>
              </w:rPr>
              <w:t>908.0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485" w:type="dxa"/>
            <w:tcBorders/>
            <w:shd w:fill="FFFFFF" w:val="clear"/>
            <w:vAlign w:val="center"/>
          </w:tcPr>
          <w:p>
            <w:pPr>
              <w:pStyle w:val="TableContents"/>
              <w:bidi w:val="0"/>
              <w:spacing w:before="0" w:after="283"/>
              <w:jc w:val="right"/>
              <w:rPr>
                <w:b/>
                <w:sz w:val="20"/>
              </w:rPr>
            </w:pPr>
            <w:r>
              <w:rPr>
                <w:b/>
                <w:sz w:val="20"/>
              </w:rPr>
              <w:t>945.0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sz w:val="20"/>
              </w:rPr>
            </w:pPr>
            <w:r>
              <w:rPr>
                <w:b/>
                <w:sz w:val="20"/>
              </w:rPr>
              <w:t>$</w:t>
            </w:r>
          </w:p>
        </w:tc>
        <w:tc>
          <w:tcPr>
            <w:tcW w:w="637" w:type="dxa"/>
            <w:tcBorders/>
            <w:shd w:fill="FFFFFF" w:val="clear"/>
            <w:vAlign w:val="center"/>
          </w:tcPr>
          <w:p>
            <w:pPr>
              <w:pStyle w:val="TableContents"/>
              <w:bidi w:val="0"/>
              <w:spacing w:before="0" w:after="283"/>
              <w:jc w:val="right"/>
              <w:rPr>
                <w:b/>
                <w:sz w:val="20"/>
              </w:rPr>
            </w:pPr>
            <w:r>
              <w:rPr>
                <w:b/>
                <w:sz w:val="20"/>
              </w:rPr>
              <w:t>926.5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485" w:type="dxa"/>
            <w:tcBorders/>
            <w:shd w:fill="FFFFFF" w:val="clear"/>
            <w:vAlign w:val="center"/>
          </w:tcPr>
          <w:p>
            <w:pPr>
              <w:pStyle w:val="TableContents"/>
              <w:bidi w:val="0"/>
              <w:spacing w:before="0" w:after="283"/>
              <w:jc w:val="right"/>
              <w:rPr>
                <w:b/>
                <w:sz w:val="20"/>
              </w:rPr>
            </w:pPr>
            <w:r>
              <w:rPr>
                <w:b/>
                <w:sz w:val="20"/>
              </w:rPr>
              <w:t>878.0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485" w:type="dxa"/>
            <w:tcBorders/>
            <w:shd w:fill="FFFFFF" w:val="clear"/>
            <w:vAlign w:val="center"/>
          </w:tcPr>
          <w:p>
            <w:pPr>
              <w:pStyle w:val="TableContents"/>
              <w:bidi w:val="0"/>
              <w:spacing w:before="0" w:after="283"/>
              <w:jc w:val="right"/>
              <w:rPr>
                <w:b/>
                <w:sz w:val="20"/>
              </w:rPr>
            </w:pPr>
            <w:r>
              <w:rPr>
                <w:b/>
                <w:sz w:val="20"/>
              </w:rPr>
              <w:t>910.0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sz w:val="20"/>
              </w:rPr>
            </w:pPr>
            <w:r>
              <w:rPr>
                <w:b/>
                <w:sz w:val="20"/>
              </w:rPr>
              <w:t>$</w:t>
            </w:r>
          </w:p>
        </w:tc>
        <w:tc>
          <w:tcPr>
            <w:tcW w:w="637" w:type="dxa"/>
            <w:tcBorders/>
            <w:shd w:fill="FFFFFF" w:val="clear"/>
            <w:vAlign w:val="center"/>
          </w:tcPr>
          <w:p>
            <w:pPr>
              <w:pStyle w:val="TableContents"/>
              <w:bidi w:val="0"/>
              <w:spacing w:before="0" w:after="283"/>
              <w:jc w:val="right"/>
              <w:rPr>
                <w:b/>
                <w:sz w:val="20"/>
              </w:rPr>
            </w:pPr>
            <w:r>
              <w:rPr>
                <w:b/>
                <w:sz w:val="20"/>
              </w:rPr>
              <w:t>894.0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b/>
                <w:sz w:val="20"/>
              </w:rPr>
            </w:pPr>
            <w:r>
              <w:rPr>
                <w:b/>
                <w:sz w:val="20"/>
              </w:rPr>
              <w:t>$</w:t>
            </w:r>
          </w:p>
        </w:tc>
        <w:tc>
          <w:tcPr>
            <w:tcW w:w="636" w:type="dxa"/>
            <w:tcBorders/>
            <w:shd w:fill="FFFFFF" w:val="clear"/>
            <w:vAlign w:val="center"/>
          </w:tcPr>
          <w:p>
            <w:pPr>
              <w:pStyle w:val="TableContents"/>
              <w:bidi w:val="0"/>
              <w:spacing w:before="0" w:after="283"/>
              <w:jc w:val="right"/>
              <w:rPr>
                <w:b/>
                <w:sz w:val="20"/>
              </w:rPr>
            </w:pPr>
            <w:r>
              <w:rPr>
                <w:b/>
                <w:sz w:val="20"/>
              </w:rPr>
              <w:t>32.5</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276.0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283.5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sz w:val="20"/>
              </w:rPr>
            </w:pPr>
            <w:r>
              <w:rPr>
                <w:sz w:val="20"/>
              </w:rPr>
              <w:t>$</w:t>
            </w:r>
          </w:p>
        </w:tc>
        <w:tc>
          <w:tcPr>
            <w:tcW w:w="637" w:type="dxa"/>
            <w:tcBorders/>
            <w:shd w:fill="FFFFFF" w:val="clear"/>
            <w:vAlign w:val="center"/>
          </w:tcPr>
          <w:p>
            <w:pPr>
              <w:pStyle w:val="TableContents"/>
              <w:bidi w:val="0"/>
              <w:spacing w:before="0" w:after="283"/>
              <w:jc w:val="right"/>
              <w:rPr>
                <w:sz w:val="20"/>
              </w:rPr>
            </w:pPr>
            <w:r>
              <w:rPr>
                <w:sz w:val="20"/>
              </w:rPr>
              <w:t>279.8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280.5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285.5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sz w:val="20"/>
              </w:rPr>
            </w:pPr>
            <w:r>
              <w:rPr>
                <w:sz w:val="20"/>
              </w:rPr>
              <w:t>$</w:t>
            </w:r>
          </w:p>
        </w:tc>
        <w:tc>
          <w:tcPr>
            <w:tcW w:w="637" w:type="dxa"/>
            <w:tcBorders/>
            <w:shd w:fill="FFFFFF" w:val="clear"/>
            <w:vAlign w:val="center"/>
          </w:tcPr>
          <w:p>
            <w:pPr>
              <w:pStyle w:val="TableContents"/>
              <w:bidi w:val="0"/>
              <w:spacing w:before="0" w:after="283"/>
              <w:jc w:val="right"/>
              <w:rPr>
                <w:sz w:val="20"/>
              </w:rPr>
            </w:pPr>
            <w:r>
              <w:rPr>
                <w:sz w:val="20"/>
              </w:rPr>
              <w:t>283.0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sz w:val="20"/>
              </w:rPr>
            </w:pPr>
            <w:r>
              <w:rPr>
                <w:sz w:val="20"/>
              </w:rPr>
              <w:t>$</w:t>
            </w:r>
          </w:p>
        </w:tc>
        <w:tc>
          <w:tcPr>
            <w:tcW w:w="636" w:type="dxa"/>
            <w:tcBorders/>
            <w:shd w:fill="FFFFFF" w:val="clear"/>
            <w:vAlign w:val="center"/>
          </w:tcPr>
          <w:p>
            <w:pPr>
              <w:pStyle w:val="TableContents"/>
              <w:bidi w:val="0"/>
              <w:spacing w:before="0" w:after="283"/>
              <w:jc w:val="right"/>
              <w:rPr>
                <w:sz w:val="20"/>
              </w:rPr>
            </w:pPr>
            <w:r>
              <w:rPr>
                <w:sz w:val="20"/>
              </w:rPr>
              <w:t>(3.3</w:t>
            </w:r>
          </w:p>
        </w:tc>
        <w:tc>
          <w:tcPr>
            <w:tcW w:w="126"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3680" w:type="dxa"/>
            <w:tcBorders/>
            <w:shd w:fill="CCEEFF" w:val="clear"/>
            <w:vAlign w:val="center"/>
          </w:tcPr>
          <w:p>
            <w:pPr>
              <w:pStyle w:val="TableContents"/>
              <w:bidi w:val="0"/>
              <w:spacing w:before="0" w:after="283"/>
              <w:jc w:val="left"/>
              <w:rPr>
                <w:sz w:val="20"/>
              </w:rPr>
            </w:pPr>
            <w:r>
              <w:rPr>
                <w:sz w:val="20"/>
              </w:rPr>
              <w:t>Net income available to common stockholders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266.0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271.5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268.8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270.5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273.5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272.0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20"/>
              </w:rPr>
            </w:pPr>
            <w:r>
              <w:rPr>
                <w:sz w:val="20"/>
              </w:rPr>
              <w:t>$</w:t>
            </w:r>
          </w:p>
        </w:tc>
        <w:tc>
          <w:tcPr>
            <w:tcW w:w="636" w:type="dxa"/>
            <w:tcBorders/>
            <w:shd w:fill="CCEEFF" w:val="clear"/>
            <w:vAlign w:val="center"/>
          </w:tcPr>
          <w:p>
            <w:pPr>
              <w:pStyle w:val="TableContents"/>
              <w:bidi w:val="0"/>
              <w:spacing w:before="0" w:after="283"/>
              <w:jc w:val="right"/>
              <w:rPr>
                <w:sz w:val="20"/>
              </w:rPr>
            </w:pPr>
            <w:r>
              <w:rPr>
                <w:sz w:val="20"/>
              </w:rPr>
              <w:t>(3.3</w:t>
            </w:r>
          </w:p>
        </w:tc>
        <w:tc>
          <w:tcPr>
            <w:tcW w:w="126"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FFO available to common stockholders and unit 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580.0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601.0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590.5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565.5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582.0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573.8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20"/>
              </w:rPr>
            </w:pPr>
            <w:r>
              <w:rPr>
                <w:sz w:val="20"/>
              </w:rPr>
              <w:t>$</w:t>
            </w:r>
          </w:p>
        </w:tc>
        <w:tc>
          <w:tcPr>
            <w:tcW w:w="636" w:type="dxa"/>
            <w:tcBorders/>
            <w:shd w:fill="CCEEFF" w:val="clear"/>
            <w:vAlign w:val="center"/>
          </w:tcPr>
          <w:p>
            <w:pPr>
              <w:pStyle w:val="TableContents"/>
              <w:bidi w:val="0"/>
              <w:spacing w:before="0" w:after="283"/>
              <w:jc w:val="right"/>
              <w:rPr>
                <w:sz w:val="20"/>
              </w:rPr>
            </w:pPr>
            <w:r>
              <w:rPr>
                <w:sz w:val="20"/>
              </w:rPr>
              <w:t>16.8</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Adjusted FFO available to common stockholders and unit 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606.8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636.3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sz w:val="20"/>
              </w:rPr>
            </w:pPr>
            <w:r>
              <w:rPr>
                <w:sz w:val="20"/>
              </w:rPr>
              <w:t>$</w:t>
            </w:r>
          </w:p>
        </w:tc>
        <w:tc>
          <w:tcPr>
            <w:tcW w:w="637" w:type="dxa"/>
            <w:tcBorders/>
            <w:shd w:fill="FFFFFF" w:val="clear"/>
            <w:vAlign w:val="center"/>
          </w:tcPr>
          <w:p>
            <w:pPr>
              <w:pStyle w:val="TableContents"/>
              <w:bidi w:val="0"/>
              <w:spacing w:before="0" w:after="283"/>
              <w:jc w:val="right"/>
              <w:rPr>
                <w:sz w:val="20"/>
              </w:rPr>
            </w:pPr>
            <w:r>
              <w:rPr>
                <w:sz w:val="20"/>
              </w:rPr>
              <w:t>621.5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592.3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616.8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sz w:val="20"/>
              </w:rPr>
            </w:pPr>
            <w:r>
              <w:rPr>
                <w:sz w:val="20"/>
              </w:rPr>
              <w:t>$</w:t>
            </w:r>
          </w:p>
        </w:tc>
        <w:tc>
          <w:tcPr>
            <w:tcW w:w="637" w:type="dxa"/>
            <w:tcBorders/>
            <w:shd w:fill="FFFFFF" w:val="clear"/>
            <w:vAlign w:val="center"/>
          </w:tcPr>
          <w:p>
            <w:pPr>
              <w:pStyle w:val="TableContents"/>
              <w:bidi w:val="0"/>
              <w:spacing w:before="0" w:after="283"/>
              <w:jc w:val="right"/>
              <w:rPr>
                <w:sz w:val="20"/>
              </w:rPr>
            </w:pPr>
            <w:r>
              <w:rPr>
                <w:sz w:val="20"/>
              </w:rPr>
              <w:t>604.5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sz w:val="20"/>
              </w:rPr>
            </w:pPr>
            <w:r>
              <w:rPr>
                <w:sz w:val="20"/>
              </w:rPr>
              <w:t>$</w:t>
            </w:r>
          </w:p>
        </w:tc>
        <w:tc>
          <w:tcPr>
            <w:tcW w:w="636" w:type="dxa"/>
            <w:tcBorders/>
            <w:shd w:fill="FFFFFF" w:val="clear"/>
            <w:vAlign w:val="center"/>
          </w:tcPr>
          <w:p>
            <w:pPr>
              <w:pStyle w:val="TableContents"/>
              <w:bidi w:val="0"/>
              <w:spacing w:before="0" w:after="283"/>
              <w:jc w:val="right"/>
              <w:rPr>
                <w:sz w:val="20"/>
              </w:rPr>
            </w:pPr>
            <w:r>
              <w:rPr>
                <w:sz w:val="20"/>
              </w:rPr>
              <w:t>17.0</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 xml:space="preserve">Net income available to common stockholders per diluted share </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3.90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3.95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sz w:val="20"/>
              </w:rPr>
            </w:pPr>
            <w:r>
              <w:rPr>
                <w:sz w:val="20"/>
              </w:rPr>
              <w:t>$</w:t>
            </w:r>
          </w:p>
        </w:tc>
        <w:tc>
          <w:tcPr>
            <w:tcW w:w="637" w:type="dxa"/>
            <w:tcBorders/>
            <w:shd w:fill="FFFFFF" w:val="clear"/>
            <w:vAlign w:val="center"/>
          </w:tcPr>
          <w:p>
            <w:pPr>
              <w:pStyle w:val="TableContents"/>
              <w:bidi w:val="0"/>
              <w:spacing w:before="0" w:after="283"/>
              <w:jc w:val="right"/>
              <w:rPr>
                <w:sz w:val="20"/>
              </w:rPr>
            </w:pPr>
            <w:r>
              <w:rPr>
                <w:sz w:val="20"/>
              </w:rPr>
              <w:t>3.93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4.10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4.11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sz w:val="20"/>
              </w:rPr>
            </w:pPr>
            <w:r>
              <w:rPr>
                <w:sz w:val="20"/>
              </w:rPr>
              <w:t>$</w:t>
            </w:r>
          </w:p>
        </w:tc>
        <w:tc>
          <w:tcPr>
            <w:tcW w:w="637" w:type="dxa"/>
            <w:tcBorders/>
            <w:shd w:fill="FFFFFF" w:val="clear"/>
            <w:vAlign w:val="center"/>
          </w:tcPr>
          <w:p>
            <w:pPr>
              <w:pStyle w:val="TableContents"/>
              <w:bidi w:val="0"/>
              <w:spacing w:before="0" w:after="283"/>
              <w:jc w:val="right"/>
              <w:rPr>
                <w:sz w:val="20"/>
              </w:rPr>
            </w:pPr>
            <w:r>
              <w:rPr>
                <w:sz w:val="20"/>
              </w:rPr>
              <w:t>4.11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sz w:val="20"/>
              </w:rPr>
            </w:pPr>
            <w:r>
              <w:rPr>
                <w:sz w:val="20"/>
              </w:rPr>
              <w:t>$</w:t>
            </w:r>
          </w:p>
        </w:tc>
        <w:tc>
          <w:tcPr>
            <w:tcW w:w="636" w:type="dxa"/>
            <w:tcBorders/>
            <w:shd w:fill="FFFFFF" w:val="clear"/>
            <w:vAlign w:val="center"/>
          </w:tcPr>
          <w:p>
            <w:pPr>
              <w:pStyle w:val="TableContents"/>
              <w:bidi w:val="0"/>
              <w:spacing w:before="0" w:after="283"/>
              <w:jc w:val="right"/>
              <w:rPr>
                <w:sz w:val="20"/>
              </w:rPr>
            </w:pPr>
            <w:r>
              <w:rPr>
                <w:sz w:val="20"/>
              </w:rPr>
              <w:t>(0.18</w:t>
            </w:r>
          </w:p>
        </w:tc>
        <w:tc>
          <w:tcPr>
            <w:tcW w:w="126"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3680" w:type="dxa"/>
            <w:tcBorders/>
            <w:shd w:fill="CCEEFF" w:val="clear"/>
            <w:vAlign w:val="center"/>
          </w:tcPr>
          <w:p>
            <w:pPr>
              <w:pStyle w:val="TableContents"/>
              <w:bidi w:val="0"/>
              <w:spacing w:before="0" w:after="283"/>
              <w:jc w:val="left"/>
              <w:rPr>
                <w:sz w:val="20"/>
              </w:rPr>
            </w:pPr>
            <w:r>
              <w:rPr>
                <w:sz w:val="20"/>
              </w:rPr>
              <w:t xml:space="preserve">Adjusted FFO available to common stockholders and unit holders per diluted share/unit </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8.90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9.26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9.08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8.98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9.28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9.13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20"/>
              </w:rPr>
            </w:pPr>
            <w:r>
              <w:rPr>
                <w:sz w:val="20"/>
              </w:rPr>
              <w:t>$</w:t>
            </w:r>
          </w:p>
        </w:tc>
        <w:tc>
          <w:tcPr>
            <w:tcW w:w="636" w:type="dxa"/>
            <w:tcBorders/>
            <w:shd w:fill="CCEEFF" w:val="clear"/>
            <w:vAlign w:val="center"/>
          </w:tcPr>
          <w:p>
            <w:pPr>
              <w:pStyle w:val="TableContents"/>
              <w:bidi w:val="0"/>
              <w:spacing w:before="0" w:after="283"/>
              <w:jc w:val="right"/>
              <w:rPr>
                <w:sz w:val="20"/>
              </w:rPr>
            </w:pPr>
            <w:r>
              <w:rPr>
                <w:sz w:val="20"/>
              </w:rPr>
              <w:t>(0.05</w:t>
            </w:r>
          </w:p>
        </w:tc>
        <w:tc>
          <w:tcPr>
            <w:tcW w:w="126"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 xml:space="preserve">Weighted average shares outstanding - diluted </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70.7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70.7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sz w:val="20"/>
              </w:rPr>
            </w:pPr>
            <w:r>
              <w:rPr>
                <w:sz w:val="20"/>
              </w:rPr>
              <w:t>70.7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68.4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68.4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sz w:val="20"/>
              </w:rPr>
            </w:pPr>
            <w:r>
              <w:rPr>
                <w:sz w:val="20"/>
              </w:rPr>
              <w:t>68.4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sz w:val="20"/>
              </w:rPr>
            </w:pPr>
            <w:r>
              <w:rPr>
                <w:sz w:val="20"/>
              </w:rPr>
              <w:t>2.3</w:t>
            </w:r>
          </w:p>
        </w:tc>
        <w:tc>
          <w:tcPr>
            <w:tcW w:w="126"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 xml:space="preserve">Weighted average shares and OP units outstanding - diluted </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71.1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71.1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71.1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68.8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68.8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sz w:val="20"/>
              </w:rPr>
            </w:pPr>
            <w:r>
              <w:rPr>
                <w:sz w:val="20"/>
              </w:rPr>
              <w:t>68.8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sz w:val="20"/>
              </w:rPr>
            </w:pPr>
            <w:r>
              <w:rPr>
                <w:sz w:val="20"/>
              </w:rPr>
              <w:t>2.3</w:t>
            </w:r>
          </w:p>
        </w:tc>
        <w:tc>
          <w:tcPr>
            <w:tcW w:w="12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both"/>
              <w:rPr/>
            </w:pPr>
            <w:r>
              <w:rPr/>
              <w:t>Includes JW Marriott Desert Ridge and Grande Lakes Orlando, except as otherwise noted. Amounts are calculated based on unrounded numbers.</w:t>
            </w:r>
          </w:p>
        </w:tc>
      </w:tr>
    </w:tbl>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283"/>
              <w:jc w:val="both"/>
              <w:rPr/>
            </w:pPr>
            <w:r>
              <w:rPr/>
              <w:t>Includes JW Marriott Desert Ridge, except as otherwise noted. Amounts are calculated based on unrounded numbers.</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(3)</w:t>
            </w:r>
          </w:p>
        </w:tc>
        <w:tc>
          <w:tcPr>
            <w:tcW w:w="9908" w:type="dxa"/>
            <w:tcBorders/>
            <w:vAlign w:val="center"/>
          </w:tcPr>
          <w:p>
            <w:pPr>
              <w:pStyle w:val="TableContents"/>
              <w:bidi w:val="0"/>
              <w:spacing w:before="0" w:after="283"/>
              <w:jc w:val="both"/>
              <w:rPr/>
            </w:pPr>
            <w:r>
              <w:rPr/>
              <w:t>Same-store Hospitality excludes JW Marriott Desert Ridge, which was acquired June 10, 2025 and Grande Lakes Orlando, which was acquired September 1, 2026.</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283"/>
              <w:jc w:val="both"/>
              <w:rPr/>
            </w:pPr>
            <w:r>
              <w:rPr/>
              <w:t>Includes shares related to the currently unexercisable investor put rights associated with the noncontrolling interest in the Company’s OEG business, which may be settled in cash or shares at the Company’s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For reconciliations of Consolidated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xml:space="preserve"> guidance to Net Income, segment-level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xml:space="preserve"> to segment-level Operating Income, and FFO and Adjusted FFO available to common stockholders and unit holders to Net Income available to common stockholders, see “Reconciliation of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Ryman Hospitality Properties,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 (NYSE: RHP) is a leading lodging and hospitality real estate investment trust that specializes in group-oriented, upscale convention center resorts and entertainment experiences. The Company’s holdings include Gaylord Opryland Resort &amp; Convention Center; Gaylord Palms Resort &amp; Convention Center; Gaylord Texan Resort &amp; Convention Center; Gaylord National Resort &amp; Convention Center; and Gaylord Rockies Resort &amp; Convention Center, five of the top seven largest non-gaming convention center hotels in the United States based on total indoor meeting space. The Company also owns the Grande Lakes Orlando Resort, the JW Marriott Phoenix Desert Ridge Resort &amp; Spa and the JW Marriott San Antonio Hill Country Resort &amp; Spa as well as two ancillary hotels adjacent to the Company’s Gaylord Hotels properties. The Company’s hotel portfolio is managed by Marriott International and includes a combined total of 13,956 rooms as well as more than 3 million square feet of total indoor and outdoor meeting space in top convention and leisure destinations across the country. RHP also owns an approximate 70% controlling ownership interest in Opry Entertainment Group (OEG), which is composed of entities owning a growing collection of iconic and emerging country music brands, including the Grand Ole Opry; Ryman Auditorium; WSM 650 AM; Ole Red; Category 10; Nashville-area attractions; and Block 21, a mixed-use entertainment, lodging, office and retail complex, including the W Austin Hotel and the ACL Live at the Moody Theater, located in downtown Austin, Texas. OEG manages select outdoor live music venues, including Ascend Federal Credit Union Amphitheater in Nashville and CCNB Amphitheatre in Simpsonville, South Carolina. OEG also owns a majority interest in Southern Entertainment, a leading festival and events business. RHP operates OEG as its Entertainment segment in a taxable REIT subsidiary, and its results are consolidated in the Company’s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integration of Grande Lakes Orlando and the Company’s expectations for Grande Lakes Orlando, including the Company’s expectations regarding the revised guidance ranges for the full year 2026. These forward-looking statements are subject to risks and uncertainties that could cause actual results to differ materially from the statements made. These risks and uncertainties include the risks and uncertainties associated with the Company’s integration of Grande Lakes Orlando, the financial performance of Grande Lakes Orlando for the remainder of the 2026 calendar year, and ability to identify and capture strategic and operational benefits at Grande Lakes Orlando. Other factors that could cause operating and financial results to differ are described in the filings made from time to time by the Company with the U.S. Securities and Exchange Commission (SEC) and include the risk factors and other risks and uncertainties described in the Company’s Annual Report on Form 10-K for the fiscal year ended December 31, 2025, the Company’s Quarterly Reports on Form 10-Q for the quarterly periods ended March 31, 2026 and June 30, 2026, and subsequent filings, including the Current Report on Form 8-K on August 10, 2026. Except as required by law, the Company does not undertake any obligation to release publicly any revisions to forward-looking statements made by it to reflect events or circumstances occurring after the date hereof or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should be read in conjunction with the consolidated financial statements and notes thereto included in our most recent Annual Report on Form 10-K. Copies of our reports are available on our website at no expense at www.rymanhp.com and through the SEC’s Electronic Data Gathering Analysis and Retrieval System (“EDGAR”)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Calculation of RevPAR and Total RevPAR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revenue per available room (“RevPAR”) for our hotels by dividing room revenue by room nights available to guests for the period. We calculate total revenue per available room (“Total RevPAR”) for our hotels by dividing the sum of room revenue, food &amp; beverage, and other ancillary services revenue by room nights available to guests for the period. Hospitality metrics do not include the results of the W Austin, which is included in the Entertainment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Calculation of GAAP Margin Figures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net income available to common stockholders margin by dividing GAAP consolidated net income available to common stockholders by GAAP consolidated total revenue. We calculate consolidated, segment or property-level operating income margin by dividing consolidated, segment or property-level GAAP operating income by consolidated, segment or property-level GAAP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the following non-GAAP financial measures we believe are useful to investors as key measures of our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EBITDAre, Adjusted EBITDAre and Adjusted EBITDAre, Excluding Noncontrolling Interest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calculate EBITDA</w:t>
      </w:r>
      <w:r>
        <w:rPr>
          <w:rFonts w:ascii="Times New Roman;Times;Serif" w:hAnsi="Times New Roman;Times;Serif"/>
          <w:b w:val="false"/>
          <w:i/>
          <w:caps w:val="false"/>
          <w:smallCaps w:val="false"/>
          <w:sz w:val="20"/>
          <w:shd w:fill="FFFFFF" w:val="clear"/>
        </w:rPr>
        <w:t xml:space="preserve">re, </w:t>
      </w:r>
      <w:r>
        <w:rPr>
          <w:rFonts w:ascii="Times New Roman;Times;Serif" w:hAnsi="Times New Roman;Times;Serif"/>
          <w:b w:val="false"/>
          <w:i w:val="false"/>
          <w:caps w:val="false"/>
          <w:smallCaps w:val="false"/>
          <w:sz w:val="20"/>
          <w:shd w:fill="FFFFFF" w:val="clear"/>
        </w:rPr>
        <w:t>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xml:space="preserve"> of unconsolidated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xml:space="preserve"> is then calculated as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plus to the extent the following adjustments occurred during the periods presented: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690"/>
        <w:gridCol w:w="9306"/>
      </w:tblGrid>
      <w:tr>
        <w:trPr/>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rFonts w:ascii="Symbol" w:hAnsi="Symbol"/>
              </w:rPr>
            </w:pPr>
            <w:r>
              <w:rPr>
                <w:rFonts w:ascii="Symbol" w:hAnsi="Symbol"/>
              </w:rPr>
              <w:t>·</w:t>
            </w:r>
          </w:p>
        </w:tc>
        <w:tc>
          <w:tcPr>
            <w:tcW w:w="9306" w:type="dxa"/>
            <w:tcBorders/>
            <w:vAlign w:val="center"/>
          </w:tcPr>
          <w:p>
            <w:pPr>
              <w:pStyle w:val="TableContents"/>
              <w:bidi w:val="0"/>
              <w:spacing w:before="0" w:after="283"/>
              <w:jc w:val="both"/>
              <w:rPr>
                <w:shd w:fill="FFFFFF" w:val="clear"/>
              </w:rPr>
            </w:pPr>
            <w:r>
              <w:rPr>
                <w:shd w:fill="FFFFFF" w:val="clear"/>
              </w:rPr>
              <w:t>preopening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518"/>
        <w:gridCol w:w="9530"/>
      </w:tblGrid>
      <w:tr>
        <w:trPr/>
        <w:tc>
          <w:tcPr>
            <w:tcW w:w="15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rFonts w:ascii="Symbol" w:hAnsi="Symbol"/>
              </w:rPr>
            </w:pPr>
            <w:r>
              <w:rPr>
                <w:rFonts w:ascii="Symbol" w:hAnsi="Symbol"/>
              </w:rPr>
              <w:t>·</w:t>
            </w:r>
          </w:p>
        </w:tc>
        <w:tc>
          <w:tcPr>
            <w:tcW w:w="9530" w:type="dxa"/>
            <w:tcBorders/>
            <w:vAlign w:val="center"/>
          </w:tcPr>
          <w:p>
            <w:pPr>
              <w:pStyle w:val="TableContents"/>
              <w:bidi w:val="0"/>
              <w:spacing w:before="0" w:after="283"/>
              <w:jc w:val="both"/>
              <w:rPr>
                <w:shd w:fill="FFFFFF" w:val="clear"/>
              </w:rPr>
            </w:pPr>
            <w:r>
              <w:rPr>
                <w:shd w:fill="FFFFFF" w:val="clear"/>
              </w:rPr>
              <w:t>non-cash lease expense;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49"/>
        <w:gridCol w:w="9750"/>
      </w:tblGrid>
      <w:tr>
        <w:trPr/>
        <w:tc>
          <w:tcPr>
            <w:tcW w:w="10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rFonts w:ascii="Symbol" w:hAnsi="Symbol"/>
              </w:rPr>
            </w:pPr>
            <w:r>
              <w:rPr>
                <w:rFonts w:ascii="Symbol" w:hAnsi="Symbol"/>
              </w:rPr>
              <w:t>·</w:t>
            </w:r>
          </w:p>
        </w:tc>
        <w:tc>
          <w:tcPr>
            <w:tcW w:w="9750" w:type="dxa"/>
            <w:tcBorders/>
            <w:vAlign w:val="center"/>
          </w:tcPr>
          <w:p>
            <w:pPr>
              <w:pStyle w:val="TableContents"/>
              <w:bidi w:val="0"/>
              <w:spacing w:before="0" w:after="283"/>
              <w:jc w:val="both"/>
              <w:rPr>
                <w:shd w:fill="FFFFFF" w:val="clear"/>
              </w:rPr>
            </w:pPr>
            <w:r>
              <w:rPr>
                <w:shd w:fill="FFFFFF" w:val="clear"/>
              </w:rPr>
              <w:t>equity-based compensation expense;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94"/>
        <w:gridCol w:w="9953"/>
      </w:tblGrid>
      <w:tr>
        <w:trPr/>
        <w:tc>
          <w:tcPr>
            <w:tcW w:w="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Symbol" w:hAnsi="Symbol"/>
              </w:rPr>
            </w:pPr>
            <w:r>
              <w:rPr>
                <w:rFonts w:ascii="Symbol" w:hAnsi="Symbol"/>
              </w:rPr>
              <w:t>·</w:t>
            </w:r>
          </w:p>
        </w:tc>
        <w:tc>
          <w:tcPr>
            <w:tcW w:w="9953" w:type="dxa"/>
            <w:tcBorders/>
            <w:vAlign w:val="center"/>
          </w:tcPr>
          <w:p>
            <w:pPr>
              <w:pStyle w:val="TableContents"/>
              <w:bidi w:val="0"/>
              <w:spacing w:before="0" w:after="283"/>
              <w:jc w:val="both"/>
              <w:rPr>
                <w:shd w:fill="FFFFFF" w:val="clear"/>
              </w:rPr>
            </w:pPr>
            <w:r>
              <w:rPr>
                <w:shd w:fill="FFFFFF" w:val="clear"/>
              </w:rPr>
              <w:t>impairment charges that do not meet the NAREIT definition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03"/>
        <w:gridCol w:w="9810"/>
      </w:tblGrid>
      <w:tr>
        <w:trPr/>
        <w:tc>
          <w:tcPr>
            <w:tcW w:w="9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Symbol" w:hAnsi="Symbol"/>
              </w:rPr>
            </w:pPr>
            <w:r>
              <w:rPr>
                <w:rFonts w:ascii="Symbol" w:hAnsi="Symbol"/>
              </w:rPr>
              <w:t>·</w:t>
            </w:r>
          </w:p>
        </w:tc>
        <w:tc>
          <w:tcPr>
            <w:tcW w:w="9810" w:type="dxa"/>
            <w:tcBorders/>
            <w:vAlign w:val="center"/>
          </w:tcPr>
          <w:p>
            <w:pPr>
              <w:pStyle w:val="TableContents"/>
              <w:bidi w:val="0"/>
              <w:spacing w:before="0" w:after="283"/>
              <w:jc w:val="both"/>
              <w:rPr>
                <w:shd w:fill="FFFFFF" w:val="clear"/>
              </w:rPr>
            </w:pPr>
            <w:r>
              <w:rPr>
                <w:shd w:fill="FFFFFF" w:val="clear"/>
              </w:rPr>
              <w:t>credit losses on held-to-maturity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395"/>
        <w:gridCol w:w="9690"/>
      </w:tblGrid>
      <w:tr>
        <w:trPr/>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Symbol" w:hAnsi="Symbol"/>
              </w:rPr>
            </w:pPr>
            <w:r>
              <w:rPr>
                <w:rFonts w:ascii="Symbol" w:hAnsi="Symbol"/>
              </w:rPr>
              <w:t>·</w:t>
            </w:r>
          </w:p>
        </w:tc>
        <w:tc>
          <w:tcPr>
            <w:tcW w:w="9690" w:type="dxa"/>
            <w:tcBorders/>
            <w:vAlign w:val="center"/>
          </w:tcPr>
          <w:p>
            <w:pPr>
              <w:pStyle w:val="TableContents"/>
              <w:bidi w:val="0"/>
              <w:spacing w:before="0" w:after="283"/>
              <w:jc w:val="both"/>
              <w:rPr>
                <w:shd w:fill="FFFFFF" w:val="clear"/>
              </w:rPr>
            </w:pPr>
            <w:r>
              <w:rPr>
                <w:shd w:fill="FFFFFF" w:val="clear"/>
              </w:rPr>
              <w:t>transaction costs of acquisitions;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Symbol" w:hAnsi="Symbol"/>
              </w:rPr>
            </w:pPr>
            <w:r>
              <w:rPr>
                <w:rFonts w:ascii="Symbol" w:hAnsi="Symbol"/>
              </w:rPr>
              <w:t>·</w:t>
            </w:r>
          </w:p>
        </w:tc>
        <w:tc>
          <w:tcPr>
            <w:tcW w:w="9569" w:type="dxa"/>
            <w:tcBorders/>
            <w:vAlign w:val="center"/>
          </w:tcPr>
          <w:p>
            <w:pPr>
              <w:pStyle w:val="TableContents"/>
              <w:bidi w:val="0"/>
              <w:spacing w:before="0" w:after="283"/>
              <w:jc w:val="both"/>
              <w:rPr>
                <w:shd w:fill="FFFFFF" w:val="clear"/>
              </w:rPr>
            </w:pPr>
            <w:r>
              <w:rPr>
                <w:shd w:fill="FFFFFF" w:val="clear"/>
              </w:rPr>
              <w:t>interest income on bonds;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406"/>
        <w:gridCol w:w="9676"/>
      </w:tblGrid>
      <w:tr>
        <w:trPr/>
        <w:tc>
          <w:tcPr>
            <w:tcW w:w="12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Symbol" w:hAnsi="Symbol"/>
              </w:rPr>
            </w:pPr>
            <w:r>
              <w:rPr>
                <w:rFonts w:ascii="Symbol" w:hAnsi="Symbol"/>
              </w:rPr>
              <w:t>·</w:t>
            </w:r>
          </w:p>
        </w:tc>
        <w:tc>
          <w:tcPr>
            <w:tcW w:w="9676" w:type="dxa"/>
            <w:tcBorders/>
            <w:vAlign w:val="center"/>
          </w:tcPr>
          <w:p>
            <w:pPr>
              <w:pStyle w:val="TableContents"/>
              <w:bidi w:val="0"/>
              <w:spacing w:before="0" w:after="283"/>
              <w:jc w:val="both"/>
              <w:rPr>
                <w:shd w:fill="FFFFFF" w:val="clear"/>
              </w:rPr>
            </w:pPr>
            <w:r>
              <w:rPr>
                <w:shd w:fill="FFFFFF" w:val="clear"/>
              </w:rPr>
              <w:t>loss on extinguishment of debt;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459"/>
        <w:gridCol w:w="9607"/>
      </w:tblGrid>
      <w:tr>
        <w:trPr/>
        <w:tc>
          <w:tcPr>
            <w:tcW w:w="13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rFonts w:ascii="Symbol" w:hAnsi="Symbol"/>
              </w:rPr>
            </w:pPr>
            <w:r>
              <w:rPr>
                <w:rFonts w:ascii="Symbol" w:hAnsi="Symbol"/>
              </w:rPr>
              <w:t>·</w:t>
            </w:r>
          </w:p>
        </w:tc>
        <w:tc>
          <w:tcPr>
            <w:tcW w:w="9607" w:type="dxa"/>
            <w:tcBorders/>
            <w:vAlign w:val="center"/>
          </w:tcPr>
          <w:p>
            <w:pPr>
              <w:pStyle w:val="TableContents"/>
              <w:bidi w:val="0"/>
              <w:spacing w:before="0" w:after="283"/>
              <w:jc w:val="both"/>
              <w:rPr>
                <w:shd w:fill="FFFFFF" w:val="clear"/>
              </w:rPr>
            </w:pPr>
            <w:r>
              <w:rPr>
                <w:shd w:fill="FFFFFF" w:val="clear"/>
              </w:rPr>
              <w:t>pension settlement charges;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88"/>
        <w:gridCol w:w="9960"/>
      </w:tblGrid>
      <w:tr>
        <w:trPr/>
        <w:tc>
          <w:tcPr>
            <w:tcW w:w="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Symbol" w:hAnsi="Symbol"/>
              </w:rPr>
            </w:pPr>
            <w:r>
              <w:rPr>
                <w:rFonts w:ascii="Symbol" w:hAnsi="Symbol"/>
              </w:rPr>
              <w:t>·</w:t>
            </w:r>
          </w:p>
        </w:tc>
        <w:tc>
          <w:tcPr>
            <w:tcW w:w="9960" w:type="dxa"/>
            <w:tcBorders/>
            <w:vAlign w:val="center"/>
          </w:tcPr>
          <w:p>
            <w:pPr>
              <w:pStyle w:val="TableContents"/>
              <w:bidi w:val="0"/>
              <w:spacing w:before="0" w:after="283"/>
              <w:jc w:val="both"/>
              <w:rPr>
                <w:shd w:fill="FFFFFF" w:val="clear"/>
              </w:rPr>
            </w:pPr>
            <w:r>
              <w:rPr>
                <w:shd w:fill="FFFFFF" w:val="clear"/>
              </w:rPr>
              <w:t>pro rata Adjusted EBITDA</w:t>
            </w:r>
            <w:r>
              <w:rPr>
                <w:i/>
                <w:shd w:fill="FFFFFF" w:val="clear"/>
              </w:rPr>
              <w:t>re</w:t>
            </w:r>
            <w:r>
              <w:rPr>
                <w:shd w:fill="FFFFFF" w:val="clear"/>
              </w:rPr>
              <w:t xml:space="preserve"> from unconsolidated joint ventures;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68"/>
        <w:gridCol w:w="9856"/>
      </w:tblGrid>
      <w:tr>
        <w:trPr/>
        <w:tc>
          <w:tcPr>
            <w:tcW w:w="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Symbol" w:hAnsi="Symbol"/>
              </w:rPr>
            </w:pPr>
            <w:r>
              <w:rPr>
                <w:rFonts w:ascii="Symbol" w:hAnsi="Symbol"/>
              </w:rPr>
              <w:t>·</w:t>
            </w:r>
          </w:p>
        </w:tc>
        <w:tc>
          <w:tcPr>
            <w:tcW w:w="9856" w:type="dxa"/>
            <w:tcBorders/>
            <w:vAlign w:val="center"/>
          </w:tcPr>
          <w:p>
            <w:pPr>
              <w:pStyle w:val="TableContents"/>
              <w:bidi w:val="0"/>
              <w:spacing w:before="0" w:after="283"/>
              <w:jc w:val="both"/>
              <w:rPr>
                <w:shd w:fill="FFFFFF" w:val="clear"/>
              </w:rPr>
            </w:pPr>
            <w:r>
              <w:rPr>
                <w:shd w:fill="FFFFFF" w:val="clear"/>
              </w:rPr>
              <w:t>any other adjustments we have identified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then exclude the pro rata share of Adjusted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xml:space="preserve"> related to noncontrolling interests to calculate Adjusted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Excluding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use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Adjusted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xml:space="preserve"> and Adjusted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Excluding Noncontrolling Interest and segment or property-level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xml:space="preserve"> and Adjusted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xml:space="preserv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or operating income, as applicable, is beneficial to an investor’s complete understanding of our operating performance. We make additional adjustments to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xml:space="preserve"> when evaluating our performance because we believe that presenting Adjusted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xml:space="preserve"> and Adjusted EBITDA</w:t>
      </w:r>
      <w:r>
        <w:rPr>
          <w:rFonts w:ascii="Times New Roman;Times;Serif" w:hAnsi="Times New Roman;Times;Serif"/>
          <w:b w:val="false"/>
          <w:i/>
          <w:caps w:val="false"/>
          <w:smallCaps w:val="false"/>
          <w:sz w:val="20"/>
          <w:shd w:fill="FFFFFF" w:val="clear"/>
        </w:rPr>
        <w:t>re</w:t>
      </w:r>
      <w:r>
        <w:rPr>
          <w:rFonts w:ascii="Times New Roman;Times;Serif" w:hAnsi="Times New Roman;Times;Serif"/>
          <w:b w:val="false"/>
          <w:i w:val="false"/>
          <w:caps w:val="false"/>
          <w:smallCaps w:val="false"/>
          <w:sz w:val="20"/>
          <w:shd w:fill="FFFFFF" w:val="clear"/>
        </w:rPr>
        <w:t>, Excluding Noncontrolling Interest provides useful information to investors regarding our operating performance and debt leverage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EBITDAre Margin and Adjusted EBITDAre, Excluding Noncontrolling Interest Margin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consolidated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Excluding Noncontrolling Interest Margin by dividing consolidated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Excluding Noncontrolling Interest by GAAP consolidated total revenue. We calculate consolidated, segment or property-level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xml:space="preserve"> Margin by dividing consolidated, segment-, or property-level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xml:space="preserve"> by consolidated, segment-, or property-level GAAP revenue. We believe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Excluding Noncontrolling Interest Margin is useful to investors in evaluating our operating performance because this non-GAAP financial measure helps investors evaluate and compare the results of our operations from period to period by presenting a ratio showing the quantitative relationship between Adjusted EBITDA</w:t>
      </w: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Excluding Noncontrolling Interest and GAAP consolidated total revenue or segment or property-level GAAP revenue,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FFO, Adjusted FFO, and Adjusted FFO Available to Common Stockholders and Unit Holders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FFO,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from unconsolidated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Adjusted FFO available to common stockholders and unit holders, we then exclude, to the extent the following adjustments occurred during the periods presented: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412"/>
        <w:gridCol w:w="9668"/>
      </w:tblGrid>
      <w:tr>
        <w:trPr/>
        <w:tc>
          <w:tcPr>
            <w:tcW w:w="12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rFonts w:ascii="Symbol" w:hAnsi="Symbol"/>
              </w:rPr>
            </w:pPr>
            <w:r>
              <w:rPr>
                <w:rFonts w:ascii="Symbol" w:hAnsi="Symbol"/>
              </w:rPr>
              <w:t>·</w:t>
            </w:r>
          </w:p>
        </w:tc>
        <w:tc>
          <w:tcPr>
            <w:tcW w:w="9668" w:type="dxa"/>
            <w:tcBorders/>
            <w:vAlign w:val="center"/>
          </w:tcPr>
          <w:p>
            <w:pPr>
              <w:pStyle w:val="TableContents"/>
              <w:bidi w:val="0"/>
              <w:spacing w:before="0" w:after="283"/>
              <w:jc w:val="both"/>
              <w:rPr/>
            </w:pPr>
            <w:r>
              <w:rPr/>
              <w:t>right-of-use asset amortization;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94"/>
        <w:gridCol w:w="9953"/>
      </w:tblGrid>
      <w:tr>
        <w:trPr/>
        <w:tc>
          <w:tcPr>
            <w:tcW w:w="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Symbol" w:hAnsi="Symbol"/>
              </w:rPr>
            </w:pPr>
            <w:r>
              <w:rPr>
                <w:rFonts w:ascii="Symbol" w:hAnsi="Symbol"/>
              </w:rPr>
              <w:t>·</w:t>
            </w:r>
          </w:p>
        </w:tc>
        <w:tc>
          <w:tcPr>
            <w:tcW w:w="9953" w:type="dxa"/>
            <w:tcBorders/>
            <w:vAlign w:val="center"/>
          </w:tcPr>
          <w:p>
            <w:pPr>
              <w:pStyle w:val="TableContents"/>
              <w:bidi w:val="0"/>
              <w:spacing w:before="0" w:after="283"/>
              <w:jc w:val="both"/>
              <w:rPr/>
            </w:pPr>
            <w:r>
              <w:rPr/>
              <w:t>impairment charges that do not meet the NAREIT definition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341"/>
        <w:gridCol w:w="9761"/>
      </w:tblGrid>
      <w:tr>
        <w:trPr/>
        <w:tc>
          <w:tcPr>
            <w:tcW w:w="10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Symbol" w:hAnsi="Symbol"/>
              </w:rPr>
            </w:pPr>
            <w:r>
              <w:rPr>
                <w:rFonts w:ascii="Symbol" w:hAnsi="Symbol"/>
              </w:rPr>
              <w:t>·</w:t>
            </w:r>
          </w:p>
        </w:tc>
        <w:tc>
          <w:tcPr>
            <w:tcW w:w="9761" w:type="dxa"/>
            <w:tcBorders/>
            <w:vAlign w:val="center"/>
          </w:tcPr>
          <w:p>
            <w:pPr>
              <w:pStyle w:val="TableContents"/>
              <w:bidi w:val="0"/>
              <w:spacing w:before="0" w:after="283"/>
              <w:jc w:val="both"/>
              <w:rPr/>
            </w:pPr>
            <w:r>
              <w:rPr/>
              <w:t>write-offs of deferred financing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9"/>
        <w:gridCol w:w="10011"/>
      </w:tblGrid>
      <w:tr>
        <w:trPr/>
        <w:tc>
          <w:tcPr>
            <w:tcW w:w="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Symbol" w:hAnsi="Symbol"/>
              </w:rPr>
            </w:pPr>
            <w:r>
              <w:rPr>
                <w:rFonts w:ascii="Symbol" w:hAnsi="Symbol"/>
              </w:rPr>
              <w:t>·</w:t>
            </w:r>
          </w:p>
        </w:tc>
        <w:tc>
          <w:tcPr>
            <w:tcW w:w="10011" w:type="dxa"/>
            <w:tcBorders/>
            <w:vAlign w:val="center"/>
          </w:tcPr>
          <w:p>
            <w:pPr>
              <w:pStyle w:val="TableContents"/>
              <w:bidi w:val="0"/>
              <w:spacing w:before="0" w:after="283"/>
              <w:jc w:val="both"/>
              <w:rPr/>
            </w:pPr>
            <w:r>
              <w:rPr/>
              <w:t>amortization of debt discounts or premiums and amortization of deferred financing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406"/>
        <w:gridCol w:w="9676"/>
      </w:tblGrid>
      <w:tr>
        <w:trPr/>
        <w:tc>
          <w:tcPr>
            <w:tcW w:w="12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Symbol" w:hAnsi="Symbol"/>
              </w:rPr>
            </w:pPr>
            <w:r>
              <w:rPr>
                <w:rFonts w:ascii="Symbol" w:hAnsi="Symbol"/>
              </w:rPr>
              <w:t>·</w:t>
            </w:r>
          </w:p>
        </w:tc>
        <w:tc>
          <w:tcPr>
            <w:tcW w:w="9676" w:type="dxa"/>
            <w:tcBorders/>
            <w:vAlign w:val="center"/>
          </w:tcPr>
          <w:p>
            <w:pPr>
              <w:pStyle w:val="TableContents"/>
              <w:bidi w:val="0"/>
              <w:spacing w:before="0" w:after="283"/>
              <w:jc w:val="both"/>
              <w:rPr/>
            </w:pPr>
            <w:r>
              <w:rPr/>
              <w:t>loss on extinguishment of debt;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518"/>
        <w:gridCol w:w="9530"/>
      </w:tblGrid>
      <w:tr>
        <w:trPr/>
        <w:tc>
          <w:tcPr>
            <w:tcW w:w="15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rFonts w:ascii="Symbol" w:hAnsi="Symbol"/>
              </w:rPr>
            </w:pPr>
            <w:r>
              <w:rPr>
                <w:rFonts w:ascii="Symbol" w:hAnsi="Symbol"/>
              </w:rPr>
              <w:t>·</w:t>
            </w:r>
          </w:p>
        </w:tc>
        <w:tc>
          <w:tcPr>
            <w:tcW w:w="9530" w:type="dxa"/>
            <w:tcBorders/>
            <w:vAlign w:val="center"/>
          </w:tcPr>
          <w:p>
            <w:pPr>
              <w:pStyle w:val="TableContents"/>
              <w:bidi w:val="0"/>
              <w:spacing w:before="0" w:after="283"/>
              <w:jc w:val="both"/>
              <w:rPr/>
            </w:pPr>
            <w:r>
              <w:rPr/>
              <w:t>non-cash lease expense;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318"/>
        <w:gridCol w:w="9791"/>
      </w:tblGrid>
      <w:tr>
        <w:trPr/>
        <w:tc>
          <w:tcPr>
            <w:tcW w:w="9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Symbol" w:hAnsi="Symbol"/>
              </w:rPr>
            </w:pPr>
            <w:r>
              <w:rPr>
                <w:rFonts w:ascii="Symbol" w:hAnsi="Symbol"/>
              </w:rPr>
              <w:t>·</w:t>
            </w:r>
          </w:p>
        </w:tc>
        <w:tc>
          <w:tcPr>
            <w:tcW w:w="9791" w:type="dxa"/>
            <w:tcBorders/>
            <w:vAlign w:val="center"/>
          </w:tcPr>
          <w:p>
            <w:pPr>
              <w:pStyle w:val="TableContents"/>
              <w:bidi w:val="0"/>
              <w:spacing w:before="0" w:after="283"/>
              <w:jc w:val="both"/>
              <w:rPr/>
            </w:pPr>
            <w:r>
              <w:rPr/>
              <w:t>credit loss on held-to-maturity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459"/>
        <w:gridCol w:w="9607"/>
      </w:tblGrid>
      <w:tr>
        <w:trPr/>
        <w:tc>
          <w:tcPr>
            <w:tcW w:w="13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rFonts w:ascii="Symbol" w:hAnsi="Symbol"/>
              </w:rPr>
            </w:pPr>
            <w:r>
              <w:rPr>
                <w:rFonts w:ascii="Symbol" w:hAnsi="Symbol"/>
              </w:rPr>
              <w:t>·</w:t>
            </w:r>
          </w:p>
        </w:tc>
        <w:tc>
          <w:tcPr>
            <w:tcW w:w="9607" w:type="dxa"/>
            <w:tcBorders/>
            <w:vAlign w:val="center"/>
          </w:tcPr>
          <w:p>
            <w:pPr>
              <w:pStyle w:val="TableContents"/>
              <w:bidi w:val="0"/>
              <w:spacing w:before="0" w:after="283"/>
              <w:jc w:val="both"/>
              <w:rPr/>
            </w:pPr>
            <w:r>
              <w:rPr/>
              <w:t>pension settlement charges;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98"/>
        <w:gridCol w:w="9948"/>
      </w:tblGrid>
      <w:tr>
        <w:trPr/>
        <w:tc>
          <w:tcPr>
            <w:tcW w:w="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Symbol" w:hAnsi="Symbol"/>
              </w:rPr>
            </w:pPr>
            <w:r>
              <w:rPr>
                <w:rFonts w:ascii="Symbol" w:hAnsi="Symbol"/>
              </w:rPr>
              <w:t>·</w:t>
            </w:r>
          </w:p>
        </w:tc>
        <w:tc>
          <w:tcPr>
            <w:tcW w:w="9948" w:type="dxa"/>
            <w:tcBorders/>
            <w:vAlign w:val="center"/>
          </w:tcPr>
          <w:p>
            <w:pPr>
              <w:pStyle w:val="TableContents"/>
              <w:bidi w:val="0"/>
              <w:spacing w:before="0" w:after="283"/>
              <w:jc w:val="both"/>
              <w:rPr/>
            </w:pPr>
            <w:r>
              <w:rPr/>
              <w:t>additional pro rata adjustments from unconsolidated joint ventures;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432"/>
        <w:gridCol w:w="9643"/>
      </w:tblGrid>
      <w:tr>
        <w:trPr/>
        <w:tc>
          <w:tcPr>
            <w:tcW w:w="1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rFonts w:ascii="Symbol" w:hAnsi="Symbol"/>
              </w:rPr>
            </w:pPr>
            <w:r>
              <w:rPr>
                <w:rFonts w:ascii="Symbol" w:hAnsi="Symbol"/>
              </w:rPr>
              <w:t>·</w:t>
            </w:r>
          </w:p>
        </w:tc>
        <w:tc>
          <w:tcPr>
            <w:tcW w:w="9643" w:type="dxa"/>
            <w:tcBorders/>
            <w:vAlign w:val="center"/>
          </w:tcPr>
          <w:p>
            <w:pPr>
              <w:pStyle w:val="TableContents"/>
              <w:bidi w:val="0"/>
              <w:spacing w:before="0" w:after="283"/>
              <w:jc w:val="both"/>
              <w:rPr/>
            </w:pPr>
            <w:r>
              <w:rPr/>
              <w:t>(gains) losses on other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395"/>
        <w:gridCol w:w="9690"/>
      </w:tblGrid>
      <w:tr>
        <w:trPr/>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Symbol" w:hAnsi="Symbol"/>
              </w:rPr>
            </w:pPr>
            <w:r>
              <w:rPr>
                <w:rFonts w:ascii="Symbol" w:hAnsi="Symbol"/>
              </w:rPr>
              <w:t>·</w:t>
            </w:r>
          </w:p>
        </w:tc>
        <w:tc>
          <w:tcPr>
            <w:tcW w:w="9690" w:type="dxa"/>
            <w:tcBorders/>
            <w:vAlign w:val="center"/>
          </w:tcPr>
          <w:p>
            <w:pPr>
              <w:pStyle w:val="TableContents"/>
              <w:bidi w:val="0"/>
              <w:spacing w:before="0" w:after="283"/>
              <w:jc w:val="both"/>
              <w:rPr/>
            </w:pPr>
            <w:r>
              <w:rPr/>
              <w:t>transaction costs of acquisitions;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03"/>
        <w:gridCol w:w="9811"/>
      </w:tblGrid>
      <w:tr>
        <w:trPr/>
        <w:tc>
          <w:tcPr>
            <w:tcW w:w="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Symbol" w:hAnsi="Symbol"/>
              </w:rPr>
            </w:pPr>
            <w:r>
              <w:rPr>
                <w:rFonts w:ascii="Symbol" w:hAnsi="Symbol"/>
              </w:rPr>
              <w:t>·</w:t>
            </w:r>
          </w:p>
        </w:tc>
        <w:tc>
          <w:tcPr>
            <w:tcW w:w="9811" w:type="dxa"/>
            <w:tcBorders/>
            <w:vAlign w:val="center"/>
          </w:tcPr>
          <w:p>
            <w:pPr>
              <w:pStyle w:val="TableContents"/>
              <w:bidi w:val="0"/>
              <w:spacing w:before="0" w:after="283"/>
              <w:jc w:val="both"/>
              <w:rPr/>
            </w:pPr>
            <w:r>
              <w:rPr/>
              <w:t>deferred income tax expense (benefit);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68"/>
        <w:gridCol w:w="9856"/>
      </w:tblGrid>
      <w:tr>
        <w:trPr/>
        <w:tc>
          <w:tcPr>
            <w:tcW w:w="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Symbol" w:hAnsi="Symbol"/>
              </w:rPr>
            </w:pPr>
            <w:r>
              <w:rPr>
                <w:rFonts w:ascii="Symbol" w:hAnsi="Symbol"/>
              </w:rPr>
              <w:t>·</w:t>
            </w:r>
          </w:p>
        </w:tc>
        <w:tc>
          <w:tcPr>
            <w:tcW w:w="9856" w:type="dxa"/>
            <w:tcBorders/>
            <w:vAlign w:val="center"/>
          </w:tcPr>
          <w:p>
            <w:pPr>
              <w:pStyle w:val="TableContents"/>
              <w:bidi w:val="0"/>
              <w:spacing w:before="0" w:after="283"/>
              <w:jc w:val="both"/>
              <w:rPr/>
            </w:pPr>
            <w:r>
              <w:rPr/>
              <w:t>any other adjustments we have identified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FFO available to common stockholders and unit holders and Adjusted FFO available to common stockholders and unit holders exclude the ownership portion of the joint ventures not controlled or owned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Adjusted FFO available to common stockholders and unit holders per diluted share/unit as a non-GAAP measure of our performance in addition to net income available to common stockholders per diluted share (calculated in accordance with GAAP). We calculate Adjusted FFO available to common stockholders and unit holders per diluted share/unit as Adjusted FFO (defined as set forth above) for a given operating period, as adjusted for the effect of dilutive securities, divided by the number of diluted shares and units outstanding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investors that non-GAAP financial measures we present may not be comparable to similar measures disclosed by other companies, because not all companies calculate these non-GAAP measures in the same manner. The non-GAAP financial measures we present, and any related per share measures,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6"/>
        <w:gridCol w:w="5799"/>
      </w:tblGrid>
      <w:tr>
        <w:trPr/>
        <w:tc>
          <w:tcPr>
            <w:tcW w:w="4406"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Fioravanti, President and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316-6588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mfioravanti@rymanhp.com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Hutcheson,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316-6320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jhutcheson@rymanhp.com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Martin, Vice President, Investor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316-6011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sarah.martin@rymanhp.com</w:t>
            </w:r>
          </w:p>
        </w:tc>
        <w:tc>
          <w:tcPr>
            <w:tcW w:w="5799"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Shannon Sullivan, Vice President, Corporate and Brand Communications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316-6725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ssullivan@rymanhp.com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Forward-Looking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Earnings Before Interest, Taxes, Depreciation and Amortization for Real Estate (“Adjusted EBITDA</w:t>
      </w:r>
      <w:r>
        <w:rPr>
          <w:rFonts w:ascii="Times New Roman;Times;Serif" w:hAnsi="Times New Roman;Times;Serif"/>
          <w:b/>
          <w:i/>
          <w:caps w:val="false"/>
          <w:smallCaps w:val="false"/>
          <w:sz w:val="20"/>
        </w:rPr>
        <w:t>re</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6425" w:type="dxa"/>
        <w:jc w:val="left"/>
        <w:tblInd w:w="0" w:type="dxa"/>
        <w:tblLayout w:type="fixed"/>
        <w:tblCellMar>
          <w:top w:w="0" w:type="dxa"/>
          <w:left w:w="0" w:type="dxa"/>
          <w:bottom w:w="0" w:type="dxa"/>
          <w:right w:w="0" w:type="dxa"/>
        </w:tblCellMar>
      </w:tblPr>
      <w:tblGrid>
        <w:gridCol w:w="3530"/>
        <w:gridCol w:w="60"/>
        <w:gridCol w:w="125"/>
        <w:gridCol w:w="695"/>
        <w:gridCol w:w="80"/>
        <w:gridCol w:w="60"/>
        <w:gridCol w:w="125"/>
        <w:gridCol w:w="695"/>
        <w:gridCol w:w="80"/>
        <w:gridCol w:w="60"/>
        <w:gridCol w:w="125"/>
        <w:gridCol w:w="695"/>
        <w:gridCol w:w="95"/>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10"/>
            <w:tcBorders/>
            <w:vAlign w:val="center"/>
          </w:tcPr>
          <w:p>
            <w:pPr>
              <w:pStyle w:val="TableContents"/>
              <w:bidi w:val="0"/>
              <w:spacing w:before="0" w:after="283"/>
              <w:jc w:val="center"/>
              <w:rPr>
                <w:b/>
                <w:sz w:val="20"/>
              </w:rPr>
            </w:pPr>
            <w:r>
              <w:rPr>
                <w:b/>
                <w:sz w:val="20"/>
              </w:rPr>
              <w:t>Guidance Range</w:t>
            </w:r>
          </w:p>
        </w:tc>
        <w:tc>
          <w:tcPr>
            <w:tcW w:w="9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Full Year 2026</w:t>
            </w:r>
            <w:r>
              <w:rPr>
                <w:b/>
                <w:position w:val="7"/>
                <w:sz w:val="16"/>
                <w:sz w:val="20"/>
              </w:rPr>
              <w:t>(1)</w:t>
            </w:r>
          </w:p>
        </w:tc>
        <w:tc>
          <w:tcPr>
            <w:tcW w:w="9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Midpoint</w:t>
            </w:r>
          </w:p>
        </w:tc>
        <w:tc>
          <w:tcPr>
            <w:tcW w:w="9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Consolidated: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276,000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283,500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279,750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13,500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262,250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269,500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265,875</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325,500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339,000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332,250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EBITDA</w:t>
            </w:r>
            <w:r>
              <w:rPr>
                <w:b/>
                <w:i/>
                <w:sz w:val="20"/>
              </w:rPr>
              <w:t>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876,250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906,500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891,375</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3,375</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Preopening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Equity-based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Pension settlement charge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4,250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Interest income on Gaylord National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908,000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945,000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926,500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Hospitality segment: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530,500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540,500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535,500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287,000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297,000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292,000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Non-cash lease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Interest income on Gaylord National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Other gains and (losses),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827,000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838,500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Hospitality segment (same-store)</w:t>
            </w:r>
            <w:r>
              <w:rPr>
                <w:b/>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484,500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489,500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487,000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234,000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240,000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237,000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Non-cash lease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Interest income on Gaylord National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Other gains and (losses),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728,000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742,000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735,000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JW Marriott Desert Ridge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37,000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36,000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69,000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71,000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Grande Lakes Orlando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11,000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14,000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12,500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32,500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Entertainment segment: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74,750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79,500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77,125</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36,500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39,500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38,000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Non-cash lease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(125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530" w:type="dxa"/>
            <w:tcBorders/>
            <w:shd w:fill="CCEEFF" w:val="clear"/>
            <w:vAlign w:val="center"/>
          </w:tcPr>
          <w:p>
            <w:pPr>
              <w:pStyle w:val="TableContents"/>
              <w:bidi w:val="0"/>
              <w:spacing w:before="0" w:after="283"/>
              <w:jc w:val="left"/>
              <w:rPr>
                <w:sz w:val="20"/>
              </w:rPr>
            </w:pPr>
            <w:r>
              <w:rPr>
                <w:sz w:val="20"/>
              </w:rPr>
              <w:t>Preopening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Equity-based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120,000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130,000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125,000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Corporate and Other segment: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(50,500</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(49,000</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(49,750</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353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2,250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Equity-based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11,000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Pension settlement charge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4,250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Other gains and (losses),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(4,750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530" w:type="dxa"/>
            <w:tcBorders/>
            <w:shd w:fill="CCEE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(39,000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(35,000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(37,000</w:t>
            </w:r>
          </w:p>
        </w:tc>
        <w:tc>
          <w:tcPr>
            <w:tcW w:w="95"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both"/>
              <w:rPr/>
            </w:pPr>
            <w:r>
              <w:rPr/>
              <w:t>Includes JW Marriott Desert Ridge and Grande Lakes Orlando, except as otherwise noted. Amounts are calculated based on unrounded numbers.</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(2)</w:t>
            </w:r>
          </w:p>
        </w:tc>
        <w:tc>
          <w:tcPr>
            <w:tcW w:w="9908" w:type="dxa"/>
            <w:tcBorders/>
            <w:vAlign w:val="center"/>
          </w:tcPr>
          <w:p>
            <w:pPr>
              <w:pStyle w:val="TableContents"/>
              <w:bidi w:val="0"/>
              <w:spacing w:before="0" w:after="283"/>
              <w:jc w:val="both"/>
              <w:rPr/>
            </w:pPr>
            <w:r>
              <w:rPr/>
              <w:t>Same-store Hospitality excludes JW Marriott Desert Ridge, which was acquired June 10, 2025 and Grande Lakes Orlando, which was acquired September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Forward-Looking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Funds From Operations (“FFO”) and Adjusted FFO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0"/>
        <w:gridCol w:w="60"/>
        <w:gridCol w:w="125"/>
        <w:gridCol w:w="695"/>
        <w:gridCol w:w="80"/>
        <w:gridCol w:w="60"/>
        <w:gridCol w:w="125"/>
        <w:gridCol w:w="695"/>
        <w:gridCol w:w="80"/>
        <w:gridCol w:w="60"/>
        <w:gridCol w:w="125"/>
        <w:gridCol w:w="695"/>
        <w:gridCol w:w="95"/>
      </w:tblGrid>
      <w:tr>
        <w:trPr/>
        <w:tc>
          <w:tcPr>
            <w:tcW w:w="7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10"/>
            <w:tcBorders/>
            <w:vAlign w:val="center"/>
          </w:tcPr>
          <w:p>
            <w:pPr>
              <w:pStyle w:val="TableContents"/>
              <w:bidi w:val="0"/>
              <w:spacing w:before="0" w:after="283"/>
              <w:jc w:val="center"/>
              <w:rPr>
                <w:b/>
                <w:sz w:val="20"/>
              </w:rPr>
            </w:pPr>
            <w:r>
              <w:rPr>
                <w:b/>
                <w:sz w:val="20"/>
              </w:rPr>
              <w:t>Guidance Range</w:t>
            </w:r>
          </w:p>
        </w:tc>
        <w:tc>
          <w:tcPr>
            <w:tcW w:w="95"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Full Year 2026</w:t>
            </w:r>
            <w:r>
              <w:rPr>
                <w:b/>
                <w:position w:val="7"/>
                <w:sz w:val="16"/>
                <w:sz w:val="20"/>
              </w:rPr>
              <w:t>(1)</w:t>
            </w:r>
          </w:p>
        </w:tc>
        <w:tc>
          <w:tcPr>
            <w:tcW w:w="95"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Midpoint</w:t>
            </w:r>
          </w:p>
        </w:tc>
        <w:tc>
          <w:tcPr>
            <w:tcW w:w="95"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b/>
                <w:sz w:val="20"/>
              </w:rPr>
            </w:pPr>
            <w:r>
              <w:rPr>
                <w:b/>
                <w:sz w:val="20"/>
              </w:rPr>
              <w:t>Consolidated: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b/>
                <w:sz w:val="20"/>
              </w:rPr>
            </w:pPr>
            <w:r>
              <w:rPr>
                <w:b/>
                <w:sz w:val="20"/>
              </w:rPr>
              <w:t>Net income available to common stockholders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266,000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268,750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sz w:val="20"/>
              </w:rPr>
            </w:pPr>
            <w:r>
              <w:rPr>
                <w:sz w:val="20"/>
              </w:rPr>
              <w:t>Noncontrolling interest in OP units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1,500</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b/>
                <w:sz w:val="20"/>
              </w:rPr>
            </w:pPr>
            <w:r>
              <w:rPr>
                <w:b/>
                <w:sz w:val="20"/>
              </w:rPr>
              <w:t>Net income available to common stockholders and unit 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267,000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270,250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325,500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339,000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332,250</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sz w:val="20"/>
              </w:rPr>
            </w:pPr>
            <w:r>
              <w:rPr>
                <w:sz w:val="20"/>
              </w:rPr>
              <w:t>Adjustments for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(12,500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(11,500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(12,000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310" w:type="dxa"/>
            <w:tcBorders/>
            <w:shd w:fill="CCEEFF" w:val="clear"/>
            <w:vAlign w:val="center"/>
          </w:tcPr>
          <w:p>
            <w:pPr>
              <w:pStyle w:val="TableContents"/>
              <w:bidi w:val="0"/>
              <w:spacing w:before="0" w:after="283"/>
              <w:jc w:val="left"/>
              <w:rPr>
                <w:b/>
                <w:sz w:val="20"/>
              </w:rPr>
            </w:pPr>
            <w:r>
              <w:rPr>
                <w:b/>
                <w:sz w:val="20"/>
              </w:rPr>
              <w:t>FFO available to common stockholders and unit 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580,000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601,000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590,500</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sz w:val="20"/>
              </w:rPr>
            </w:pPr>
            <w:r>
              <w:rPr>
                <w:sz w:val="20"/>
              </w:rPr>
              <w:t>Right-of-use asset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sz w:val="20"/>
              </w:rPr>
            </w:pPr>
            <w:r>
              <w:rPr>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3,375</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sz w:val="20"/>
              </w:rPr>
            </w:pPr>
            <w:r>
              <w:rPr>
                <w:sz w:val="20"/>
              </w:rPr>
              <w:t>Pension settlement charge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4,250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sz w:val="20"/>
              </w:rPr>
            </w:pPr>
            <w:r>
              <w:rPr>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2,500</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sz w:val="20"/>
              </w:rPr>
            </w:pPr>
            <w:r>
              <w:rPr>
                <w:sz w:val="20"/>
              </w:rPr>
              <w:t>Adjustments for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310" w:type="dxa"/>
            <w:tcBorders/>
            <w:shd w:fill="CCEEFF" w:val="clear"/>
            <w:vAlign w:val="center"/>
          </w:tcPr>
          <w:p>
            <w:pPr>
              <w:pStyle w:val="TableContents"/>
              <w:bidi w:val="0"/>
              <w:spacing w:before="0" w:after="283"/>
              <w:jc w:val="left"/>
              <w:rPr>
                <w:sz w:val="20"/>
              </w:rPr>
            </w:pPr>
            <w:r>
              <w:rPr>
                <w:sz w:val="20"/>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13,750</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sz w:val="20"/>
              </w:rPr>
            </w:pPr>
            <w:r>
              <w:rPr>
                <w:sz w:val="20"/>
              </w:rPr>
              <w:t>Amortization of debt discounts and premiums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2,000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sz w:val="20"/>
              </w:rPr>
            </w:pPr>
            <w:r>
              <w:rPr>
                <w:sz w:val="20"/>
              </w:rPr>
              <w:t>Deferred tax provision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9,375</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b/>
                <w:sz w:val="20"/>
              </w:rPr>
            </w:pPr>
            <w:r>
              <w:rPr>
                <w:b/>
                <w:sz w:val="20"/>
              </w:rPr>
              <w:t>Adjusted FFO available to common stockholders and unit holders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606,750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636,250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621,500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both"/>
              <w:rPr>
                <w:b/>
                <w:sz w:val="20"/>
              </w:rPr>
            </w:pPr>
            <w:r>
              <w:rPr>
                <w:b/>
                <w:sz w:val="20"/>
              </w:rPr>
              <w:t xml:space="preserve">Net income available to common stockholders per diluted share </w:t>
            </w:r>
            <w:r>
              <w:rPr>
                <w:b/>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3.93</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both"/>
              <w:rPr>
                <w:b/>
                <w:sz w:val="20"/>
              </w:rPr>
            </w:pPr>
            <w:r>
              <w:rPr>
                <w:b/>
                <w:sz w:val="20"/>
              </w:rPr>
              <w:t xml:space="preserve">Adjusted FFO available to common stockholders and unit holders per diluted share/unit </w:t>
            </w:r>
            <w:r>
              <w:rPr>
                <w:b/>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8.90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9.08</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both"/>
              <w:rPr>
                <w:b/>
                <w:sz w:val="20"/>
              </w:rPr>
            </w:pPr>
            <w:r>
              <w:rPr>
                <w:b/>
                <w:sz w:val="20"/>
              </w:rPr>
              <w:t xml:space="preserve">Estimated weighted average shares outstanding - diluted (in millions) </w:t>
            </w:r>
            <w:r>
              <w:rPr>
                <w:b/>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70.7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70.7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70.7</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both"/>
              <w:rPr>
                <w:b/>
                <w:sz w:val="20"/>
              </w:rPr>
            </w:pPr>
            <w:r>
              <w:rPr>
                <w:b/>
                <w:sz w:val="20"/>
              </w:rPr>
              <w:t xml:space="preserve">Estimated weighted average shares and OP units outstanding - diluted (in millions) </w:t>
            </w:r>
            <w:r>
              <w:rPr>
                <w:b/>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71.1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71.1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71.1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Includes JW Marriott Desert Ridge and Grande Lakes Orlando. Amounts are calculated based on unrounded numbers.</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Includes the impact of approximately 5.9 million shares issued August 12, 2026. Includes equivalent shares related to the currently unexercisable investor put rights associated with the noncontrolling interest in the Company’s OEG business, which may be settled in cash or shares at the Company’s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Forward-Looking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 and Adjusted FFO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70"/>
        <w:gridCol w:w="60"/>
        <w:gridCol w:w="125"/>
        <w:gridCol w:w="695"/>
        <w:gridCol w:w="60"/>
        <w:gridCol w:w="60"/>
        <w:gridCol w:w="125"/>
        <w:gridCol w:w="695"/>
        <w:gridCol w:w="60"/>
        <w:gridCol w:w="60"/>
        <w:gridCol w:w="125"/>
        <w:gridCol w:w="695"/>
        <w:gridCol w:w="75"/>
      </w:tblGrid>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vAlign w:val="center"/>
          </w:tcPr>
          <w:p>
            <w:pPr>
              <w:pStyle w:val="TableContents"/>
              <w:bidi w:val="0"/>
              <w:spacing w:before="0" w:after="283"/>
              <w:jc w:val="center"/>
              <w:rPr>
                <w:b/>
                <w:sz w:val="20"/>
              </w:rPr>
            </w:pPr>
            <w:r>
              <w:rPr>
                <w:b/>
                <w:sz w:val="20"/>
              </w:rPr>
              <w:t>Guidance Range</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Full Year 2026</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Midpoint</w:t>
            </w:r>
          </w:p>
        </w:tc>
        <w:tc>
          <w:tcPr>
            <w:tcW w:w="75" w:type="dxa"/>
            <w:tcBorders/>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b/>
                <w:sz w:val="20"/>
                <w:u w:val="single"/>
              </w:rPr>
            </w:pPr>
            <w:r>
              <w:rPr>
                <w:b/>
                <w:sz w:val="20"/>
                <w:u w:val="single"/>
              </w:rPr>
              <w:t>Earnings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Numerator: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Net income available to common stockholders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266,000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271,500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268,750</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Net income attributable to noncontrolling interest in OEG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9,000</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Net income available to common stockholders - if-converted method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276,000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279,500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277,750</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 xml:space="preserve">Estimated weighted average shares outstanding - diluted (in millions)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70.7</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b/>
                <w:sz w:val="20"/>
              </w:rPr>
            </w:pPr>
            <w:r>
              <w:rPr>
                <w:b/>
                <w:sz w:val="20"/>
              </w:rPr>
              <w:t>Diluted income per share available to common stockholders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3.93</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b/>
                <w:sz w:val="20"/>
                <w:u w:val="single"/>
              </w:rPr>
            </w:pPr>
            <w:r>
              <w:rPr>
                <w:b/>
                <w:sz w:val="20"/>
                <w:u w:val="single"/>
              </w:rPr>
              <w:t>Adjusted FFO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Adjusted FFO available to common stockholders and unit 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606,750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636,250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621,500</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Net income attributable to noncontrolling interest in OEG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9,000</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FFO adjustments for noncontrolling interest in OEG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10,500</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Adjusted FFO Adjustments for noncontrolling interest in OEG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4,500</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Adjusted FFO available to common stockholders and unit holders - if-converted method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632,750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658,250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645,500</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 xml:space="preserve">Estimated weighted average shares and OP units outstanding - diluted (in millions)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71.1</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b/>
                <w:sz w:val="20"/>
              </w:rPr>
            </w:pPr>
            <w:r>
              <w:rPr>
                <w:b/>
                <w:sz w:val="20"/>
              </w:rPr>
              <w:t>Adjusted FFO available to common stockholders and unit holders per diluted share/unit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9.08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both"/>
              <w:rPr/>
            </w:pPr>
            <w:r>
              <w:rPr/>
              <w:t>Includes the impact of approximately 5.9 million shares issued August 12, 2026. Includes equivalent shares related to the currently unexercisable investor put rights associated with the noncontrolling interest in the Company’s OEG business, which may be settled in cash or shares at the Company’s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Forward-Looking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Earnings Before Interest, Taxes, Depreciation and Amortization for Real Estate (“Adjusted EBITDA</w:t>
      </w:r>
      <w:r>
        <w:rPr>
          <w:rFonts w:ascii="Times New Roman;Times;Serif" w:hAnsi="Times New Roman;Times;Serif"/>
          <w:b/>
          <w:i/>
          <w:caps w:val="false"/>
          <w:smallCaps w:val="false"/>
          <w:sz w:val="20"/>
        </w:rPr>
        <w:t>re</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6425" w:type="dxa"/>
        <w:jc w:val="left"/>
        <w:tblInd w:w="0" w:type="dxa"/>
        <w:tblLayout w:type="fixed"/>
        <w:tblCellMar>
          <w:top w:w="0" w:type="dxa"/>
          <w:left w:w="0" w:type="dxa"/>
          <w:bottom w:w="0" w:type="dxa"/>
          <w:right w:w="0" w:type="dxa"/>
        </w:tblCellMar>
      </w:tblPr>
      <w:tblGrid>
        <w:gridCol w:w="3530"/>
        <w:gridCol w:w="60"/>
        <w:gridCol w:w="125"/>
        <w:gridCol w:w="695"/>
        <w:gridCol w:w="80"/>
        <w:gridCol w:w="60"/>
        <w:gridCol w:w="125"/>
        <w:gridCol w:w="695"/>
        <w:gridCol w:w="80"/>
        <w:gridCol w:w="60"/>
        <w:gridCol w:w="125"/>
        <w:gridCol w:w="695"/>
        <w:gridCol w:w="95"/>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10"/>
            <w:tcBorders/>
            <w:vAlign w:val="center"/>
          </w:tcPr>
          <w:p>
            <w:pPr>
              <w:pStyle w:val="TableContents"/>
              <w:bidi w:val="0"/>
              <w:spacing w:before="0" w:after="283"/>
              <w:jc w:val="center"/>
              <w:rPr>
                <w:b/>
                <w:sz w:val="20"/>
              </w:rPr>
            </w:pPr>
            <w:r>
              <w:rPr>
                <w:b/>
                <w:sz w:val="20"/>
              </w:rPr>
              <w:t>Prior Guidance Range</w:t>
            </w:r>
          </w:p>
        </w:tc>
        <w:tc>
          <w:tcPr>
            <w:tcW w:w="9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Full Year 2026</w:t>
            </w:r>
            <w:r>
              <w:rPr>
                <w:b/>
                <w:position w:val="7"/>
                <w:sz w:val="16"/>
                <w:sz w:val="20"/>
              </w:rPr>
              <w:t>(1)</w:t>
            </w:r>
          </w:p>
        </w:tc>
        <w:tc>
          <w:tcPr>
            <w:tcW w:w="9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Midpoint</w:t>
            </w:r>
          </w:p>
        </w:tc>
        <w:tc>
          <w:tcPr>
            <w:tcW w:w="9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Consolidated: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280,500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285,500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283,000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13,750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246,250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249,875</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306,500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318,000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312,250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EBITDA</w:t>
            </w:r>
            <w:r>
              <w:rPr>
                <w:b/>
                <w:i/>
                <w:sz w:val="20"/>
              </w:rPr>
              <w:t>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846,250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871,500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858,875</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3,375</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Preopening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Equity-based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Pension settlement charge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4,250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Interest income on Gaylord National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878,000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910,000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894,000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Hospitality segment: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519,500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526,500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523,000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268,000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276,000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272,000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Non-cash lease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Interest income on Gaylord National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Other gains and (losses),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797,000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815,000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806,000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Hospitality segment (same-store)</w:t>
            </w:r>
            <w:r>
              <w:rPr>
                <w:b/>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484,500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489,500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487,000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234,000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240,000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237,000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Non-cash lease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Interest income on Gaylord National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Other gains and (losses),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728,000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742,000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735,000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JW Marriott Desert Ridge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37,000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36,000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69,000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71,000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Entertainment segment: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74,750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79,500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77,125</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36,500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39,500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38,000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Non-cash lease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(250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530" w:type="dxa"/>
            <w:tcBorders/>
            <w:shd w:fill="FFFFFF" w:val="clear"/>
            <w:vAlign w:val="center"/>
          </w:tcPr>
          <w:p>
            <w:pPr>
              <w:pStyle w:val="TableContents"/>
              <w:bidi w:val="0"/>
              <w:spacing w:before="0" w:after="283"/>
              <w:jc w:val="left"/>
              <w:rPr>
                <w:sz w:val="20"/>
              </w:rPr>
            </w:pPr>
            <w:r>
              <w:rPr>
                <w:sz w:val="20"/>
              </w:rPr>
              <w:t>Preopening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Equity-based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130,000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125,000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sz w:val="20"/>
              </w:rPr>
            </w:pPr>
            <w:r>
              <w:rPr>
                <w:b/>
                <w:sz w:val="20"/>
              </w:rPr>
              <w:t>Corporate and Other segment: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(50,500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(49,000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(49,750</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530"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2,250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Equity-based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11,000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Pension settlement charge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4,250</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Other gains and (losses),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(4,750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530" w:type="dxa"/>
            <w:tcBorders/>
            <w:shd w:fill="FFFFFF" w:val="clear"/>
            <w:vAlign w:val="center"/>
          </w:tcPr>
          <w:p>
            <w:pPr>
              <w:pStyle w:val="TableContents"/>
              <w:bidi w:val="0"/>
              <w:spacing w:before="0" w:after="283"/>
              <w:jc w:val="left"/>
              <w:rPr>
                <w:b/>
                <w:sz w:val="20"/>
              </w:rPr>
            </w:pPr>
            <w:r>
              <w:rPr>
                <w:b/>
                <w:sz w:val="20"/>
              </w:rPr>
              <w:t>Adjusted EBITDA</w:t>
            </w:r>
            <w:r>
              <w:rPr>
                <w:b/>
                <w:i/>
                <w:sz w:val="20"/>
              </w:rPr>
              <w:t>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(39,000</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(35,000</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(37,000</w:t>
            </w:r>
          </w:p>
        </w:tc>
        <w:tc>
          <w:tcPr>
            <w:tcW w:w="95"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left"/>
              <w:rPr/>
            </w:pPr>
            <w:r>
              <w:rPr/>
              <w:t>Includes JW Marriott Desert Ridge, except as otherwise noted. Amounts are calculated based on unrounded numbers.</w:t>
            </w:r>
          </w:p>
        </w:tc>
      </w:tr>
    </w:tbl>
    <w:tbl>
      <w:tblPr>
        <w:tblW w:w="5000" w:type="pct"/>
        <w:jc w:val="left"/>
        <w:tblInd w:w="0" w:type="dxa"/>
        <w:tblLayout w:type="fixed"/>
        <w:tblCellMar>
          <w:top w:w="0" w:type="dxa"/>
          <w:left w:w="0" w:type="dxa"/>
          <w:bottom w:w="0" w:type="dxa"/>
          <w:right w:w="0" w:type="dxa"/>
        </w:tblCellMar>
      </w:tblPr>
      <w:tblGrid>
        <w:gridCol w:w="41"/>
        <w:gridCol w:w="316"/>
        <w:gridCol w:w="9848"/>
      </w:tblGrid>
      <w:tr>
        <w:trPr/>
        <w:tc>
          <w:tcPr>
            <w:tcW w:w="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(2)</w:t>
            </w:r>
          </w:p>
        </w:tc>
        <w:tc>
          <w:tcPr>
            <w:tcW w:w="9848" w:type="dxa"/>
            <w:tcBorders/>
            <w:vAlign w:val="center"/>
          </w:tcPr>
          <w:p>
            <w:pPr>
              <w:pStyle w:val="TableContents"/>
              <w:bidi w:val="0"/>
              <w:spacing w:before="0" w:after="283"/>
              <w:jc w:val="left"/>
              <w:rPr/>
            </w:pPr>
            <w:r>
              <w:rPr/>
              <w:t>Same-store Hospitality excludes JW Marriott Desert Ridge, which was acquired June 10,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Forward-Looking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Funds From Operations (“FFO”) and Adjusted FFO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0"/>
        <w:gridCol w:w="60"/>
        <w:gridCol w:w="125"/>
        <w:gridCol w:w="695"/>
        <w:gridCol w:w="80"/>
        <w:gridCol w:w="60"/>
        <w:gridCol w:w="125"/>
        <w:gridCol w:w="695"/>
        <w:gridCol w:w="80"/>
        <w:gridCol w:w="60"/>
        <w:gridCol w:w="125"/>
        <w:gridCol w:w="695"/>
        <w:gridCol w:w="95"/>
      </w:tblGrid>
      <w:tr>
        <w:trPr/>
        <w:tc>
          <w:tcPr>
            <w:tcW w:w="7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10"/>
            <w:tcBorders/>
            <w:vAlign w:val="center"/>
          </w:tcPr>
          <w:p>
            <w:pPr>
              <w:pStyle w:val="TableContents"/>
              <w:bidi w:val="0"/>
              <w:spacing w:before="0" w:after="283"/>
              <w:jc w:val="center"/>
              <w:rPr>
                <w:b/>
                <w:sz w:val="20"/>
              </w:rPr>
            </w:pPr>
            <w:r>
              <w:rPr>
                <w:b/>
                <w:sz w:val="20"/>
              </w:rPr>
              <w:t>Prior Guidance Range</w:t>
            </w:r>
          </w:p>
        </w:tc>
        <w:tc>
          <w:tcPr>
            <w:tcW w:w="95"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Full Year 2026</w:t>
            </w:r>
            <w:r>
              <w:rPr>
                <w:b/>
                <w:position w:val="7"/>
                <w:sz w:val="16"/>
                <w:sz w:val="20"/>
              </w:rPr>
              <w:t>(1)</w:t>
            </w:r>
          </w:p>
        </w:tc>
        <w:tc>
          <w:tcPr>
            <w:tcW w:w="95"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Midpoint</w:t>
            </w:r>
          </w:p>
        </w:tc>
        <w:tc>
          <w:tcPr>
            <w:tcW w:w="95"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b/>
                <w:sz w:val="20"/>
              </w:rPr>
            </w:pPr>
            <w:r>
              <w:rPr>
                <w:b/>
                <w:sz w:val="20"/>
              </w:rPr>
              <w:t>Consolidated: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b/>
                <w:sz w:val="20"/>
              </w:rPr>
            </w:pPr>
            <w:r>
              <w:rPr>
                <w:b/>
                <w:sz w:val="20"/>
              </w:rPr>
              <w:t>Net income available to common stockholders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270,500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272,000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sz w:val="20"/>
              </w:rPr>
            </w:pPr>
            <w:r>
              <w:rPr>
                <w:sz w:val="20"/>
              </w:rPr>
              <w:t>Noncontrolling interest in OP units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1,500</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b/>
                <w:sz w:val="20"/>
              </w:rPr>
            </w:pPr>
            <w:r>
              <w:rPr>
                <w:b/>
                <w:sz w:val="20"/>
              </w:rPr>
              <w:t>Net income available to common stockholders and unit 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275,500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273,500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306,500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318,000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312,250</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sz w:val="20"/>
              </w:rPr>
            </w:pPr>
            <w:r>
              <w:rPr>
                <w:sz w:val="20"/>
              </w:rPr>
              <w:t>Adjustments for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(12,500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(11,500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(12,000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310" w:type="dxa"/>
            <w:tcBorders/>
            <w:shd w:fill="CCEEFF" w:val="clear"/>
            <w:vAlign w:val="center"/>
          </w:tcPr>
          <w:p>
            <w:pPr>
              <w:pStyle w:val="TableContents"/>
              <w:bidi w:val="0"/>
              <w:spacing w:before="0" w:after="283"/>
              <w:jc w:val="left"/>
              <w:rPr>
                <w:b/>
                <w:sz w:val="20"/>
              </w:rPr>
            </w:pPr>
            <w:r>
              <w:rPr>
                <w:b/>
                <w:sz w:val="20"/>
              </w:rPr>
              <w:t>FFO available to common stockholders and unit 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565,500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582,000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573,750</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sz w:val="20"/>
              </w:rPr>
            </w:pPr>
            <w:r>
              <w:rPr>
                <w:sz w:val="20"/>
              </w:rPr>
              <w:t>Right-of-use asset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sz w:val="20"/>
              </w:rPr>
            </w:pPr>
            <w:r>
              <w:rPr>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3,375</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sz w:val="20"/>
              </w:rPr>
            </w:pPr>
            <w:r>
              <w:rPr>
                <w:sz w:val="20"/>
              </w:rPr>
              <w:t>Pension settlement charge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4,250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sz w:val="20"/>
              </w:rPr>
            </w:pPr>
            <w:r>
              <w:rPr>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2,500</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sz w:val="20"/>
              </w:rPr>
            </w:pPr>
            <w:r>
              <w:rPr>
                <w:sz w:val="20"/>
              </w:rPr>
              <w:t>Adjustments for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310" w:type="dxa"/>
            <w:tcBorders/>
            <w:shd w:fill="CCEEFF" w:val="clear"/>
            <w:vAlign w:val="center"/>
          </w:tcPr>
          <w:p>
            <w:pPr>
              <w:pStyle w:val="TableContents"/>
              <w:bidi w:val="0"/>
              <w:spacing w:before="0" w:after="283"/>
              <w:jc w:val="left"/>
              <w:rPr>
                <w:sz w:val="20"/>
              </w:rPr>
            </w:pPr>
            <w:r>
              <w:rPr>
                <w:sz w:val="20"/>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13,250</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sz w:val="20"/>
              </w:rPr>
            </w:pPr>
            <w:r>
              <w:rPr>
                <w:sz w:val="20"/>
              </w:rPr>
              <w:t>Amortization of debt discounts and premiums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2,000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sz w:val="20"/>
              </w:rPr>
            </w:pPr>
            <w:r>
              <w:rPr>
                <w:sz w:val="20"/>
              </w:rPr>
              <w:t>Deferred tax provision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9,625</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b/>
                <w:sz w:val="20"/>
              </w:rPr>
            </w:pPr>
            <w:r>
              <w:rPr>
                <w:b/>
                <w:sz w:val="20"/>
              </w:rPr>
              <w:t>Adjusted FFO available to common stockholders and unit holders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592,250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616,750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604,500</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both"/>
              <w:rPr>
                <w:b/>
                <w:sz w:val="20"/>
              </w:rPr>
            </w:pPr>
            <w:r>
              <w:rPr>
                <w:b/>
                <w:sz w:val="20"/>
              </w:rPr>
              <w:t xml:space="preserve">Net income available to common stockholders per diluted share </w:t>
            </w:r>
            <w:r>
              <w:rPr>
                <w:b/>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4.11</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310" w:type="dxa"/>
            <w:tcBorders/>
            <w:shd w:fill="CCEEFF" w:val="clear"/>
            <w:vAlign w:val="center"/>
          </w:tcPr>
          <w:p>
            <w:pPr>
              <w:pStyle w:val="TableContents"/>
              <w:bidi w:val="0"/>
              <w:spacing w:before="0" w:after="283"/>
              <w:jc w:val="both"/>
              <w:rPr>
                <w:b/>
                <w:sz w:val="20"/>
              </w:rPr>
            </w:pPr>
            <w:r>
              <w:rPr>
                <w:b/>
                <w:sz w:val="20"/>
              </w:rPr>
              <w:t xml:space="preserve">Adjusted FFO available to common stockholders and unit holders per diluted share/unit </w:t>
            </w:r>
            <w:r>
              <w:rPr>
                <w:b/>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8.98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9.13</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both"/>
              <w:rPr>
                <w:b/>
                <w:sz w:val="20"/>
              </w:rPr>
            </w:pPr>
            <w:r>
              <w:rPr>
                <w:b/>
                <w:sz w:val="20"/>
              </w:rPr>
              <w:t xml:space="preserve">Estimated weighted average shares outstanding - diluted (in millions) </w:t>
            </w:r>
            <w:r>
              <w:rPr>
                <w:b/>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68.4</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both"/>
              <w:rPr>
                <w:b/>
                <w:sz w:val="20"/>
              </w:rPr>
            </w:pPr>
            <w:r>
              <w:rPr>
                <w:b/>
                <w:sz w:val="20"/>
              </w:rPr>
              <w:t xml:space="preserve">Estimated weighted average shares and OP units outstanding - diluted (in millions) </w:t>
            </w:r>
            <w:r>
              <w:rPr>
                <w:b/>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68.8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
        <w:gridCol w:w="332"/>
        <w:gridCol w:w="9830"/>
      </w:tblGrid>
      <w:tr>
        <w:trPr/>
        <w:tc>
          <w:tcPr>
            <w:tcW w:w="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(1)</w:t>
            </w:r>
          </w:p>
        </w:tc>
        <w:tc>
          <w:tcPr>
            <w:tcW w:w="9830" w:type="dxa"/>
            <w:tcBorders/>
            <w:vAlign w:val="center"/>
          </w:tcPr>
          <w:p>
            <w:pPr>
              <w:pStyle w:val="TableContents"/>
              <w:bidi w:val="0"/>
              <w:spacing w:before="0" w:after="283"/>
              <w:jc w:val="left"/>
              <w:rPr/>
            </w:pPr>
            <w:r>
              <w:rPr/>
              <w:t>Includes JW Marriott Desert Ridge. Amounts are calculated based on unrounded numbers.</w:t>
            </w:r>
          </w:p>
        </w:tc>
      </w:tr>
    </w:tbl>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both"/>
              <w:rPr/>
            </w:pPr>
            <w:r>
              <w:rPr/>
              <w:t>Includes equivalent shares related to the currently unexercisable investor put rights associated with the noncontrolling interest in the Company’s OEG business, which may be settled in cash or shares at the Company’s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Forward-Looking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 and Adjusted FFO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70"/>
        <w:gridCol w:w="60"/>
        <w:gridCol w:w="125"/>
        <w:gridCol w:w="695"/>
        <w:gridCol w:w="60"/>
        <w:gridCol w:w="60"/>
        <w:gridCol w:w="125"/>
        <w:gridCol w:w="695"/>
        <w:gridCol w:w="60"/>
        <w:gridCol w:w="60"/>
        <w:gridCol w:w="125"/>
        <w:gridCol w:w="695"/>
        <w:gridCol w:w="75"/>
      </w:tblGrid>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vAlign w:val="center"/>
          </w:tcPr>
          <w:p>
            <w:pPr>
              <w:pStyle w:val="TableContents"/>
              <w:bidi w:val="0"/>
              <w:spacing w:before="0" w:after="283"/>
              <w:jc w:val="center"/>
              <w:rPr>
                <w:b/>
                <w:sz w:val="20"/>
              </w:rPr>
            </w:pPr>
            <w:r>
              <w:rPr>
                <w:b/>
                <w:sz w:val="20"/>
              </w:rPr>
              <w:t>Prior Guidance Range</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Full Year 2026</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Midpoint</w:t>
            </w:r>
          </w:p>
        </w:tc>
        <w:tc>
          <w:tcPr>
            <w:tcW w:w="75" w:type="dxa"/>
            <w:tcBorders/>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b/>
                <w:sz w:val="20"/>
                <w:u w:val="single"/>
              </w:rPr>
            </w:pPr>
            <w:r>
              <w:rPr>
                <w:b/>
                <w:sz w:val="20"/>
                <w:u w:val="single"/>
              </w:rPr>
              <w:t>Earnings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Numerator: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Net income available to common stockholders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270,500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273,500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272,000</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Net income attributable to noncontrolling interest in OEG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9,000</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Net income available to common stockholders - if-converted method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280,500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281,500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281,000</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 xml:space="preserve">Estimated weighted average shares outstanding - diluted (in millions)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68.4</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b/>
                <w:sz w:val="20"/>
              </w:rPr>
            </w:pPr>
            <w:r>
              <w:rPr>
                <w:b/>
                <w:sz w:val="20"/>
              </w:rPr>
              <w:t>Diluted income per share available to common stockholders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4.11</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b/>
                <w:sz w:val="20"/>
                <w:u w:val="single"/>
              </w:rPr>
            </w:pPr>
            <w:r>
              <w:rPr>
                <w:b/>
                <w:sz w:val="20"/>
                <w:u w:val="single"/>
              </w:rPr>
              <w:t>Adjusted FFO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Adjusted FFO available to common stockholders and unit 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592,250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616,750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604,500</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Net income attributable to noncontrolling interest in OEG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9,000</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FFO adjustments for noncontrolling interest in OEG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10,500</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Adjusted FFO Adjustments for noncontrolling interest in OEG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4,500</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Adjusted FFO available to common stockholders and unit holders - if-converted method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618,250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638,750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628,500</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sz w:val="20"/>
              </w:rPr>
            </w:pPr>
            <w:r>
              <w:rPr>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sz w:val="20"/>
              </w:rPr>
            </w:pPr>
            <w:r>
              <w:rPr>
                <w:sz w:val="20"/>
              </w:rPr>
              <w:t xml:space="preserve">Estimated weighted average shares and OP units outstanding - diluted (in millions)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68.8</w:t>
            </w:r>
          </w:p>
        </w:tc>
        <w:tc>
          <w:tcPr>
            <w:tcW w:w="75"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b/>
                <w:sz w:val="20"/>
              </w:rPr>
            </w:pPr>
            <w:r>
              <w:rPr>
                <w:b/>
                <w:sz w:val="20"/>
              </w:rPr>
              <w:t>Adjusted FFO available to common stockholders and unit holders per diluted share/unit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9.13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283"/>
              <w:jc w:val="both"/>
              <w:rPr/>
            </w:pPr>
            <w:r>
              <w:rPr/>
              <w:t>Includes equivalent shares related to the currently unexercisable investor put rights associated with the noncontrolling interest in the Company’s OEG business, which may be settled in cash or shares at the Company’s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5356</Words>
  <Characters>30383</Characters>
  <CharactersWithSpaces>37059</CharactersWithSpaces>
  <Paragraphs>3980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