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001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001260"/>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Pantoya Christine</w:t>
              </w:r>
            </w:hyperlink>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Ryman Hospitality Properties,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RHP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40" w:type="dxa"/>
            <w:vAlign w:val="bottom"/>
            <w:tcBorders>
              <w:bottom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60" w:type="dxa"/>
            <w:vAlign w:val="bottom"/>
            <w:tcBorders>
              <w:bottom w:val="single" w:sz="8" w:color="0000EE"/>
            </w:tcBorders>
            <w:gridSpan w:val="2"/>
            <w:vMerge w:val="continue"/>
          </w:tcPr>
          <w:p>
            <w:pPr>
              <w:spacing w:after="0"/>
              <w:rPr>
                <w:sz w:val="5"/>
                <w:szCs w:val="5"/>
                <w:color w:val="auto"/>
              </w:rPr>
            </w:pPr>
          </w:p>
        </w:tc>
        <w:tc>
          <w:tcPr>
            <w:tcW w:w="9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60" w:type="dxa"/>
            <w:vAlign w:val="bottom"/>
            <w:gridSpan w:val="2"/>
          </w:tcPr>
          <w:p>
            <w:pPr>
              <w:spacing w:after="0"/>
              <w:rPr>
                <w:sz w:val="6"/>
                <w:szCs w:val="6"/>
                <w:color w:val="auto"/>
              </w:rPr>
            </w:pPr>
          </w:p>
        </w:tc>
        <w:tc>
          <w:tcPr>
            <w:tcW w:w="9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9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05/07/2026</w:t>
            </w:r>
          </w:p>
        </w:tc>
        <w:tc>
          <w:tcPr>
            <w:tcW w:w="9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107 CALLOWAY CROSSING</w:t>
            </w:r>
          </w:p>
        </w:tc>
        <w:tc>
          <w:tcPr>
            <w:tcW w:w="1220" w:type="dxa"/>
            <w:vAlign w:val="bottom"/>
          </w:tcPr>
          <w:p>
            <w:pPr>
              <w:spacing w:after="0"/>
              <w:rPr>
                <w:sz w:val="10"/>
                <w:szCs w:val="10"/>
                <w:color w:val="auto"/>
              </w:rPr>
            </w:pPr>
          </w:p>
        </w:tc>
        <w:tc>
          <w:tcPr>
            <w:tcW w:w="298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84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5"/>
        </w:trPr>
        <w:tc>
          <w:tcPr>
            <w:tcW w:w="84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gridSpan w:val="3"/>
            <w:vMerge w:val="continue"/>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84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6" w:right="359" w:bottom="1440" w:gutter="0" w:footer="0" w:header="0"/>
          <w:type w:val="continuous"/>
        </w:sectPr>
      </w:pPr>
    </w:p>
    <w:tbl>
      <w:tblPr>
        <w:tblLayout w:type="fixed"/>
        <w:tblInd w:w="100" w:type="dxa"/>
        <w:tblCellMar>
          <w:top w:w="0" w:type="dxa"/>
          <w:left w:w="0" w:type="dxa"/>
          <w:bottom w:w="0" w:type="dxa"/>
          <w:right w:w="0" w:type="dxa"/>
        </w:tblCellMar>
      </w:tblPr>
      <w:tr>
        <w:trPr>
          <w:trHeight w:val="190"/>
        </w:trPr>
        <w:tc>
          <w:tcPr>
            <w:tcW w:w="110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color w:val="0000FF"/>
              </w:rPr>
              <w:t>PEACHTREE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GA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30269</w:t>
            </w:r>
          </w:p>
        </w:tc>
        <w:tc>
          <w:tcPr>
            <w:tcW w:w="0" w:type="dxa"/>
            <w:vAlign w:val="bottom"/>
          </w:tcPr>
          <w:p>
            <w:pPr>
              <w:spacing w:after="0"/>
              <w:rPr>
                <w:sz w:val="1"/>
                <w:szCs w:val="1"/>
                <w:color w:val="auto"/>
              </w:rPr>
            </w:pPr>
          </w:p>
        </w:tc>
      </w:tr>
      <w:tr>
        <w:trPr>
          <w:trHeight w:val="114"/>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60" w:type="dxa"/>
            <w:vAlign w:val="bottom"/>
            <w:gridSpan w:val="2"/>
          </w:tcPr>
          <w:p>
            <w:pPr>
              <w:jc w:val="center"/>
              <w:ind w:left="675"/>
              <w:spacing w:after="0"/>
              <w:rPr>
                <w:sz w:val="20"/>
                <w:szCs w:val="20"/>
                <w:color w:val="auto"/>
              </w:rPr>
            </w:pPr>
            <w:r>
              <w:rPr>
                <w:rFonts w:ascii="Times New Roman" w:cs="Times New Roman" w:eastAsia="Times New Roman" w:hAnsi="Times New Roman"/>
                <w:sz w:val="17"/>
                <w:szCs w:val="17"/>
                <w:color w:val="0000FF"/>
                <w:w w:val="98"/>
              </w:rPr>
              <w:t>05/09/2026</w:t>
            </w: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1,260</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7,602</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05/07/2027</w:t>
            </w:r>
            <w:r>
              <w:rPr>
                <w:rFonts w:ascii="Times New Roman" w:cs="Times New Roman" w:eastAsia="Times New Roman" w:hAnsi="Times New Roman"/>
                <w:sz w:val="21"/>
                <w:szCs w:val="21"/>
                <w:color w:val="008000"/>
                <w:vertAlign w:val="superscript"/>
              </w:rPr>
              <w:t>(1)</w:t>
            </w:r>
          </w:p>
        </w:tc>
        <w:tc>
          <w:tcPr>
            <w:tcW w:w="6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1,262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05/07/2026</w:t>
            </w:r>
          </w:p>
        </w:tc>
        <w:tc>
          <w:tcPr>
            <w:tcW w:w="1100" w:type="dxa"/>
            <w:vAlign w:val="bottom"/>
          </w:tcPr>
          <w:p>
            <w:pPr>
              <w:spacing w:after="0"/>
              <w:rPr>
                <w:sz w:val="5"/>
                <w:szCs w:val="5"/>
                <w:color w:val="auto"/>
              </w:rPr>
            </w:pPr>
          </w:p>
        </w:tc>
        <w:tc>
          <w:tcPr>
            <w:tcW w:w="760" w:type="dxa"/>
            <w:vAlign w:val="bottom"/>
            <w:vMerge w:val="restart"/>
          </w:tcPr>
          <w:p>
            <w:pPr>
              <w:jc w:val="center"/>
              <w:ind w:right="281"/>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1,262</w:t>
            </w:r>
          </w:p>
        </w:tc>
        <w:tc>
          <w:tcPr>
            <w:tcW w:w="4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05/07/2027</w:t>
            </w: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1,262</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05/09/2026</w:t>
            </w:r>
            <w:r>
              <w:rPr>
                <w:rFonts w:ascii="Times New Roman" w:cs="Times New Roman" w:eastAsia="Times New Roman" w:hAnsi="Times New Roman"/>
                <w:sz w:val="21"/>
                <w:szCs w:val="21"/>
                <w:color w:val="008000"/>
                <w:vertAlign w:val="superscript"/>
              </w:rPr>
              <w:t>(2)</w:t>
            </w:r>
          </w:p>
        </w:tc>
        <w:tc>
          <w:tcPr>
            <w:tcW w:w="6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1,260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05/09/2026</w:t>
            </w:r>
          </w:p>
        </w:tc>
        <w:tc>
          <w:tcPr>
            <w:tcW w:w="1100" w:type="dxa"/>
            <w:vAlign w:val="bottom"/>
          </w:tcPr>
          <w:p>
            <w:pPr>
              <w:spacing w:after="0"/>
              <w:rPr>
                <w:sz w:val="5"/>
                <w:szCs w:val="5"/>
                <w:color w:val="auto"/>
              </w:rPr>
            </w:pPr>
          </w:p>
        </w:tc>
        <w:tc>
          <w:tcPr>
            <w:tcW w:w="760" w:type="dxa"/>
            <w:vAlign w:val="bottom"/>
            <w:vMerge w:val="restart"/>
          </w:tcPr>
          <w:p>
            <w:pPr>
              <w:jc w:val="center"/>
              <w:ind w:right="301"/>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5"/>
                <w:szCs w:val="5"/>
                <w:color w:val="auto"/>
              </w:rPr>
            </w:pPr>
          </w:p>
        </w:tc>
        <w:tc>
          <w:tcPr>
            <w:tcW w:w="4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1,260</w:t>
            </w:r>
          </w:p>
        </w:tc>
        <w:tc>
          <w:tcPr>
            <w:tcW w:w="860" w:type="dxa"/>
            <w:vAlign w:val="bottom"/>
            <w:gridSpan w:val="2"/>
            <w:vMerge w:val="continue"/>
          </w:tcPr>
          <w:p>
            <w:pPr>
              <w:spacing w:after="0"/>
              <w:rPr>
                <w:sz w:val="5"/>
                <w:szCs w:val="5"/>
                <w:color w:val="auto"/>
              </w:rPr>
            </w:pPr>
          </w:p>
        </w:tc>
        <w:tc>
          <w:tcPr>
            <w:tcW w:w="68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05/09/2026</w:t>
            </w: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46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grant of restricted stock units to the director in connection with the director's service. Upon the lapse of the restrictions with respect to the RSUs (which unless deferred will be May 7, 2027) one share of common stock will be issued for each RSU.</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on 5/9/24 with deferred vesting until 5/9/26.</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Scott J. Lynn, Attorney-in-Fact  </w:t>
      </w:r>
      <w:r>
        <w:rPr>
          <w:rFonts w:ascii="Times New Roman" w:cs="Times New Roman" w:eastAsia="Times New Roman" w:hAnsi="Times New Roman"/>
          <w:sz w:val="33"/>
          <w:szCs w:val="33"/>
          <w:color w:val="0000FF"/>
          <w:vertAlign w:val="subscript"/>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Christine C. Pantoya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024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42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5728" TargetMode="External"/><Relationship Id="rId14" Type="http://schemas.openxmlformats.org/officeDocument/2006/relationships/hyperlink" Target="http://www.sec.gov/cgi-bin/browse-edgar?action=getcompany&amp;CIK=0001040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2026-05-11T09:28:58Z</dcterms:created>
  <dcterms:modified xsi:type="dcterms:W3CDTF">2026-05-11T09:28:58Z</dcterms:modified>
</cp:coreProperties>
</file>