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Helgren Erin Claire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GAYLORD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Ryman Hospitality Properties, Inc.</w:t>
              </w:r>
            </w:hyperlink>
            <w:r>
              <w:rPr/>
              <w:t xml:space="preserve"> [ </w:t>
            </w:r>
            <w:r>
              <w:rPr>
                <w:rFonts w:ascii="Times;serif" w:hAnsi="Times;serif"/>
                <w:color w:val="0000FF"/>
                <w:sz w:val="24"/>
                <w:shd w:fill="FFFFFF" w:val="clear"/>
              </w:rPr>
              <w:t>RHP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13"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8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1,285</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vests 100% on May 7,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reporting person's outstanding restricted stock unit awards, as a result of the $1.20 dividend per share of outstanding common stock paid by the issuer on October 15, 2026, the reporting person received additional restricted stock units in an amount based on the amount of the dividend per share and the closing price of the issuer's common stock traded on the NYSE on September 30,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Scott J. Lynn, Attorney-in-Fact for Erin Helgren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8491" TargetMode="External"/><Relationship Id="rId5" Type="http://schemas.openxmlformats.org/officeDocument/2006/relationships/hyperlink" Target="http://www.sec.gov/cgi-bin/browse-edgar?action=getcompany&amp;CIK=0001040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3472</Characters>
  <CharactersWithSpaces>4052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