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Haslam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502 UNION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KNOXVILLE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Ryman Hospitality Properties, Inc.</w:t>
              </w:r>
            </w:hyperlink>
            <w:r>
              <w:rPr/>
              <w:t xml:space="preserve"> [ </w:t>
            </w:r>
            <w:r>
              <w:rPr>
                <w:rFonts w:ascii="Times;serif" w:hAnsi="Times;serif"/>
                <w:color w:val="0000FF"/>
                <w:sz w:val="24"/>
                <w:shd w:fill="FFFFFF" w:val="clear"/>
              </w:rPr>
              <w:t>RHP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8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681"/>
        <w:gridCol w:w="801"/>
        <w:gridCol w:w="936"/>
        <w:gridCol w:w="831"/>
        <w:gridCol w:w="846"/>
      </w:tblGrid>
      <w:tr>
        <w:trPr>
          <w:tblHeader w:val="true"/>
        </w:trPr>
        <w:tc>
          <w:tcPr>
            <w:tcW w:w="118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1,273</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 vest 100% on May 7,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reporting person's outstanding restricted stock unit awards, as a result of the $1.20 dividend per share of outstanding common stock paid by the issuer on July 15, 2026, the reporting person received additional restricted stock units in an amount based on the amount of the dividend per share and the closing price of the issuer's common stock traded on the NYSE on June 30,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Scott J. Lynn, Attorney-in-Fact for William Haslam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5943" TargetMode="External"/><Relationship Id="rId5" Type="http://schemas.openxmlformats.org/officeDocument/2006/relationships/hyperlink" Target="http://www.sec.gov/cgi-bin/browse-edgar?action=getcompany&amp;CIK=0001040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3449</Characters>
  <CharactersWithSpaces>4036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