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594995</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177800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198120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RYMAN HOSPITALITY PROPERTIES, INC.</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178435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 w:type="dxa"/>
            <w:vAlign w:val="bottom"/>
            <w:tcBorders>
              <w:top w:val="single" w:sz="8" w:color="auto"/>
              <w:bottom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1-13079</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73-0664379</w:t>
            </w:r>
          </w:p>
        </w:tc>
      </w:tr>
      <w:tr>
        <w:trPr>
          <w:trHeight w:val="187"/>
        </w:trPr>
        <w:tc>
          <w:tcPr>
            <w:tcW w:w="302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52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29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5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49"/>
        </w:trPr>
        <w:tc>
          <w:tcPr>
            <w:tcW w:w="422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One Gaylord Drive</w:t>
            </w: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3"/>
        </w:trPr>
        <w:tc>
          <w:tcPr>
            <w:tcW w:w="422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740" w:type="dxa"/>
            <w:vAlign w:val="bottom"/>
          </w:tcPr>
          <w:p>
            <w:pPr>
              <w:spacing w:after="0"/>
              <w:rPr>
                <w:sz w:val="21"/>
                <w:szCs w:val="21"/>
                <w:color w:val="auto"/>
              </w:rPr>
            </w:pPr>
          </w:p>
        </w:tc>
        <w:tc>
          <w:tcPr>
            <w:tcW w:w="3980" w:type="dxa"/>
            <w:vAlign w:val="bottom"/>
            <w:gridSpan w:val="3"/>
          </w:tcPr>
          <w:p>
            <w:pPr>
              <w:jc w:val="right"/>
              <w:ind w:right="2770"/>
              <w:spacing w:after="0"/>
              <w:rPr>
                <w:sz w:val="20"/>
                <w:szCs w:val="20"/>
                <w:color w:val="auto"/>
              </w:rPr>
            </w:pPr>
            <w:r>
              <w:rPr>
                <w:rFonts w:ascii="Times New Roman" w:cs="Times New Roman" w:eastAsia="Times New Roman" w:hAnsi="Times New Roman"/>
                <w:sz w:val="18"/>
                <w:szCs w:val="18"/>
                <w:b w:val="1"/>
                <w:bCs w:val="1"/>
                <w:color w:val="auto"/>
              </w:rPr>
              <w:t>37214</w:t>
            </w:r>
          </w:p>
        </w:tc>
      </w:tr>
      <w:tr>
        <w:trPr>
          <w:trHeight w:val="238"/>
        </w:trPr>
        <w:tc>
          <w:tcPr>
            <w:tcW w:w="596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980" w:type="dxa"/>
            <w:vAlign w:val="bottom"/>
            <w:gridSpan w:val="3"/>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316-6000</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58" w:lineRule="exact"/>
        <w:rPr>
          <w:sz w:val="24"/>
          <w:szCs w:val="24"/>
          <w:color w:val="auto"/>
        </w:rPr>
      </w:pPr>
    </w:p>
    <w:p>
      <w:pPr>
        <w:ind w:right="200" w:firstLine="416"/>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5" w:lineRule="exact"/>
        <w:rPr>
          <w:sz w:val="24"/>
          <w:szCs w:val="24"/>
          <w:color w:val="auto"/>
        </w:rPr>
      </w:pPr>
    </w:p>
    <w:tbl>
      <w:tblPr>
        <w:tblLayout w:type="fixed"/>
        <w:tblInd w:w="1000" w:type="dxa"/>
        <w:tblCellMar>
          <w:top w:w="0" w:type="dxa"/>
          <w:left w:w="0" w:type="dxa"/>
          <w:bottom w:w="0" w:type="dxa"/>
          <w:right w:w="0" w:type="dxa"/>
        </w:tblCellMar>
      </w:tblPr>
      <w:tr>
        <w:trPr>
          <w:trHeight w:val="229"/>
        </w:trPr>
        <w:tc>
          <w:tcPr>
            <w:tcW w:w="1840" w:type="dxa"/>
            <w:vAlign w:val="bottom"/>
          </w:tcPr>
          <w:p>
            <w:pPr>
              <w:spacing w:after="0"/>
              <w:rPr>
                <w:sz w:val="19"/>
                <w:szCs w:val="19"/>
                <w:color w:val="auto"/>
              </w:rPr>
            </w:pPr>
          </w:p>
        </w:tc>
        <w:tc>
          <w:tcPr>
            <w:tcW w:w="3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234"/>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60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Which Registered</w:t>
            </w:r>
          </w:p>
        </w:tc>
      </w:tr>
      <w:tr>
        <w:trPr>
          <w:trHeight w:val="218"/>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w:t>
            </w:r>
          </w:p>
        </w:tc>
        <w:tc>
          <w:tcPr>
            <w:tcW w:w="6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6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1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value $.01</w:t>
            </w:r>
          </w:p>
        </w:tc>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103" w:lineRule="exact"/>
        <w:rPr>
          <w:sz w:val="24"/>
          <w:szCs w:val="24"/>
          <w:color w:val="auto"/>
        </w:rPr>
      </w:pPr>
    </w:p>
    <w:p>
      <w:pPr>
        <w:ind w:right="50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700"/>
        <w:spacing w:after="0" w:line="24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488950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1060" w:right="979" w:bottom="1440" w:gutter="0" w:footer="0" w:header="0"/>
        </w:sectPr>
      </w:pPr>
    </w:p>
    <w:bookmarkStart w:id="1" w:name="page2"/>
    <w:bookmarkEnd w:id="1"/>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152" w:lineRule="exact"/>
        <w:rPr>
          <w:sz w:val="20"/>
          <w:szCs w:val="20"/>
          <w:color w:val="auto"/>
        </w:rPr>
      </w:pPr>
    </w:p>
    <w:p>
      <w:pPr>
        <w:ind w:left="200" w:right="679" w:firstLine="648"/>
        <w:spacing w:after="0" w:line="272" w:lineRule="auto"/>
        <w:rPr>
          <w:sz w:val="20"/>
          <w:szCs w:val="20"/>
          <w:color w:val="auto"/>
        </w:rPr>
      </w:pPr>
      <w:r>
        <w:rPr>
          <w:rFonts w:ascii="Times New Roman" w:cs="Times New Roman" w:eastAsia="Times New Roman" w:hAnsi="Times New Roman"/>
          <w:sz w:val="20"/>
          <w:szCs w:val="20"/>
          <w:color w:val="auto"/>
        </w:rPr>
        <w:t xml:space="preserve">On April 30, 2026, Ryman Hospitality Properties, Inc. (the “Company”) issued a press release announcing its financial results for the quarter ended March 31, 2026 and revising guidance for certain financial measures for 2026. A copy of the press release is furnished herewith as </w:t>
      </w:r>
      <w:r>
        <w:rPr>
          <w:rFonts w:ascii="Times New Roman" w:cs="Times New Roman" w:eastAsia="Times New Roman" w:hAnsi="Times New Roman"/>
          <w:sz w:val="20"/>
          <w:szCs w:val="20"/>
          <w:u w:val="single" w:color="auto"/>
          <w:color w:val="auto"/>
        </w:rPr>
        <w:t>Exhibit 99.1</w:t>
      </w:r>
      <w:r>
        <w:rPr>
          <w:rFonts w:ascii="Times New Roman" w:cs="Times New Roman" w:eastAsia="Times New Roman" w:hAnsi="Times New Roman"/>
          <w:sz w:val="20"/>
          <w:szCs w:val="20"/>
          <w:color w:val="auto"/>
        </w:rPr>
        <w:t xml:space="preserve"> and incorporated herein by reference.</w:t>
      </w:r>
    </w:p>
    <w:p>
      <w:pPr>
        <w:spacing w:after="0" w:line="74"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ind w:left="1500" w:hanging="643"/>
        <w:spacing w:after="0"/>
        <w:tabs>
          <w:tab w:leader="none" w:pos="15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EE"/>
        </w:rPr>
        <w:t>Press Release of Ryman Hospitality Properties, Inc. dated April 30, 2026.</w:t>
      </w:r>
    </w:p>
    <w:p>
      <w:pPr>
        <w:spacing w:after="0" w:line="2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537210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left="200" w:right="299" w:firstLine="648"/>
        <w:spacing w:after="0" w:line="29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RYMAN HOSPITALITY PROPERTIES, INC.</w:t>
            </w:r>
          </w:p>
        </w:tc>
      </w:tr>
      <w:tr>
        <w:trPr>
          <w:trHeight w:val="519"/>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20" w:type="dxa"/>
            <w:vAlign w:val="bottom"/>
          </w:tcPr>
          <w:p>
            <w:pPr>
              <w:jc w:val="right"/>
              <w:ind w:right="3395"/>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2"/>
        </w:trPr>
        <w:tc>
          <w:tcPr>
            <w:tcW w:w="2360" w:type="dxa"/>
            <w:vAlign w:val="bottom"/>
            <w:gridSpan w:val="2"/>
          </w:tcPr>
          <w:p>
            <w:pPr>
              <w:spacing w:after="0" w:line="192" w:lineRule="exact"/>
              <w:rPr>
                <w:sz w:val="20"/>
                <w:szCs w:val="20"/>
                <w:color w:val="auto"/>
              </w:rPr>
            </w:pPr>
            <w:r>
              <w:rPr>
                <w:rFonts w:ascii="Times New Roman" w:cs="Times New Roman" w:eastAsia="Times New Roman" w:hAnsi="Times New Roman"/>
                <w:sz w:val="20"/>
                <w:szCs w:val="20"/>
                <w:color w:val="auto"/>
              </w:rPr>
              <w:t>Date: May 1, 2026</w:t>
            </w:r>
          </w:p>
        </w:tc>
        <w:tc>
          <w:tcPr>
            <w:tcW w:w="6240" w:type="dxa"/>
            <w:vAlign w:val="bottom"/>
            <w:gridSpan w:val="3"/>
          </w:tcPr>
          <w:p>
            <w:pPr>
              <w:jc w:val="right"/>
              <w:ind w:right="3395"/>
              <w:spacing w:after="0" w:line="192" w:lineRule="exact"/>
              <w:rPr>
                <w:sz w:val="20"/>
                <w:szCs w:val="20"/>
                <w:color w:val="auto"/>
              </w:rPr>
            </w:pPr>
            <w:r>
              <w:rPr>
                <w:rFonts w:ascii="Times New Roman" w:cs="Times New Roman" w:eastAsia="Times New Roman" w:hAnsi="Times New Roman"/>
                <w:sz w:val="20"/>
                <w:szCs w:val="20"/>
                <w:color w:val="auto"/>
                <w:w w:val="99"/>
              </w:rPr>
              <w:t>By:/s/ Scott J. Lynn​</w:t>
            </w: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Scott J. Lynn</w:t>
            </w:r>
          </w:p>
        </w:tc>
      </w:tr>
      <w:tr>
        <w:trPr>
          <w:trHeight w:val="243"/>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Executive Vice President, General Counsel and</w:t>
            </w:r>
          </w:p>
        </w:tc>
      </w:tr>
      <w:tr>
        <w:trPr>
          <w:trHeight w:val="258"/>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7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Secretary</w:t>
            </w:r>
          </w:p>
        </w:tc>
      </w:tr>
      <w:tr>
        <w:trPr>
          <w:trHeight w:val="1648"/>
        </w:trPr>
        <w:tc>
          <w:tcPr>
            <w:tcW w:w="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4"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85090</wp:posOffset>
            </wp:positionV>
            <wp:extent cx="2245995" cy="711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Ryman Hospitality Properties, Inc. Reports First Quarter 2026 Results</w:t>
      </w:r>
    </w:p>
    <w:p>
      <w:pPr>
        <w:spacing w:after="0" w:line="282"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NASHVILLE, Tenn. (April 30, 2026) – Ryman Hospitality Properties, Inc. (NYSE: RHP), a leading lodging real estate investment trust (“REIT”) specializing in group-oriented, destination hotel assets in urban and resort markets, today reported financial results for the three months ended March 31,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Highlights and Recent Developments:</w:t>
      </w:r>
    </w:p>
    <w:p>
      <w:pPr>
        <w:spacing w:after="0" w:line="351" w:lineRule="exact"/>
        <w:rPr>
          <w:sz w:val="20"/>
          <w:szCs w:val="20"/>
          <w:color w:val="auto"/>
        </w:rPr>
      </w:pPr>
    </w:p>
    <w:p>
      <w:pPr>
        <w:ind w:left="660" w:right="20" w:hanging="328"/>
        <w:spacing w:after="0" w:line="310"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Company reported record first quarter consolidated revenue of $664.6 million, driven by record first quarter same-store Hospitality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29"/>
          <w:szCs w:val="29"/>
          <w:i w:val="1"/>
          <w:iCs w:val="1"/>
          <w:u w:val="single" w:color="auto"/>
          <w:color w:val="0000EE"/>
          <w:vertAlign w:val="superscript"/>
        </w:rPr>
        <w:t>1</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20"/>
          <w:szCs w:val="20"/>
          <w:i w:val="1"/>
          <w:iCs w:val="1"/>
          <w:color w:val="auto"/>
        </w:rPr>
        <w:t xml:space="preserve"> segment revenue of $511.5 million.</w:t>
      </w:r>
    </w:p>
    <w:p>
      <w:pPr>
        <w:ind w:left="660" w:hanging="328"/>
        <w:spacing w:after="0" w:line="352"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Company generated record first quarter consolidated net income of $69.4 million and record first quarter consolidated Adjusted EBITDAre of $219.3 million.</w:t>
      </w:r>
    </w:p>
    <w:p>
      <w:pPr>
        <w:spacing w:after="0" w:line="1" w:lineRule="exact"/>
        <w:rPr>
          <w:rFonts w:ascii="Times New Roman" w:cs="Times New Roman" w:eastAsia="Times New Roman" w:hAnsi="Times New Roman"/>
          <w:sz w:val="20"/>
          <w:szCs w:val="20"/>
          <w:color w:val="auto"/>
        </w:rPr>
      </w:pPr>
    </w:p>
    <w:p>
      <w:pPr>
        <w:jc w:val="both"/>
        <w:ind w:left="660" w:hanging="328"/>
        <w:spacing w:after="0" w:line="370"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During the quarter, the Company booked over 460,000 same-store Hospitality Gross Definite Room Nights for all future periods. The estimated average daily rate (ADR) for these bookings was approximately $303, an increase of 6.7% compared to the prior year quarter estimated ADR for future bookings and a new record.</w:t>
      </w:r>
    </w:p>
    <w:p>
      <w:pPr>
        <w:spacing w:after="0" w:line="2" w:lineRule="exact"/>
        <w:rPr>
          <w:rFonts w:ascii="Times New Roman" w:cs="Times New Roman" w:eastAsia="Times New Roman" w:hAnsi="Times New Roman"/>
          <w:sz w:val="20"/>
          <w:szCs w:val="20"/>
          <w:color w:val="auto"/>
        </w:rPr>
      </w:pPr>
    </w:p>
    <w:p>
      <w:pPr>
        <w:jc w:val="both"/>
        <w:ind w:left="660" w:right="20" w:hanging="328"/>
        <w:spacing w:after="0" w:line="370"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Company completed a private placement of $700 million senior unsecured notes due 2034, and used the net proceeds, together with cash on hand, to redeem in full the outstanding $700 million senior unsecured notes due 2027.</w:t>
      </w:r>
    </w:p>
    <w:p>
      <w:pPr>
        <w:spacing w:after="0" w:line="2" w:lineRule="exact"/>
        <w:rPr>
          <w:rFonts w:ascii="Times New Roman" w:cs="Times New Roman" w:eastAsia="Times New Roman" w:hAnsi="Times New Roman"/>
          <w:sz w:val="20"/>
          <w:szCs w:val="20"/>
          <w:color w:val="auto"/>
        </w:rPr>
      </w:pPr>
    </w:p>
    <w:p>
      <w:pPr>
        <w:ind w:left="660" w:hanging="328"/>
        <w:spacing w:after="0" w:line="366"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Subsequent to quarter-end, Opry Entertainment Group (OEG) announced the planned development of a seventh Ole Red location in downtown Indianapolis, which is expected to open in late 2027.</w:t>
      </w:r>
    </w:p>
    <w:p>
      <w:pPr>
        <w:ind w:left="660" w:hanging="328"/>
        <w:spacing w:after="0"/>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Company is raising its full year outlook due to strong first quarter performance for the Hospitality portfolio.</w:t>
      </w:r>
    </w:p>
    <w:p>
      <w:pPr>
        <w:spacing w:after="0" w:line="200" w:lineRule="exact"/>
        <w:rPr>
          <w:sz w:val="20"/>
          <w:szCs w:val="20"/>
          <w:color w:val="auto"/>
        </w:rPr>
      </w:pPr>
    </w:p>
    <w:p>
      <w:pPr>
        <w:spacing w:after="0" w:line="27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0"/>
          <w:szCs w:val="20"/>
          <w:color w:val="auto"/>
        </w:rPr>
        <w:t>Mark Fioravanti, President and Chief Executive Officer of Ryman Hospitality Properties, said, “We are very pleased to deliver a strong start to 2026, with first quarter results exceeding our expectations. In our same-store Hospitality portfolio, favorable group mix drove upside in group ADR and outside-the-room spending, which together with strong Spring Break leisure performance more than offset the impact of Winter Storm Fern. Meeting planner sentiment remained resilient throughout the quarter, resulting in the highest first quarter same-store group room night bookings production since 2018. While the operating environment remains dynamic, current and forward-looking group business indicators remain strong, and our first quarter results underscore the strength of our business model, the quality of our assets, and the effectiveness of our capital allocation strategy. As a result, we are raising our guidance ranges to reflect the first quarter outperformance.”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1568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Same-store Hospitality segment excludes JW Marriott Desert Ridge, which was acquired June 10, 2025.</w:t>
      </w:r>
    </w:p>
    <w:p>
      <w:pPr>
        <w:spacing w:after="0" w:line="19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u w:val="single" w:color="auto"/>
          <w:color w:val="auto"/>
        </w:rPr>
        <w:t>First Quarter 2026 Results (as compared to First Quarter 2025):</w:t>
      </w:r>
    </w:p>
    <w:p>
      <w:pPr>
        <w:sectPr>
          <w:pgSz w:w="11900" w:h="16838" w:orient="portrait"/>
          <w:cols w:equalWidth="0" w:num="1">
            <w:col w:w="9920"/>
          </w:cols>
          <w:pgMar w:left="980" w:top="114" w:right="9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 thousands, except per share amounts)</w:t>
      </w:r>
    </w:p>
    <w:tbl>
      <w:tblPr>
        <w:tblLayout w:type="fixed"/>
        <w:tblInd w:w="0" w:type="dxa"/>
        <w:tblCellMar>
          <w:top w:w="0" w:type="dxa"/>
          <w:left w:w="0" w:type="dxa"/>
          <w:bottom w:w="0" w:type="dxa"/>
          <w:right w:w="0" w:type="dxa"/>
        </w:tblCellMar>
      </w:tblPr>
      <w:tr>
        <w:trPr>
          <w:trHeight w:val="150"/>
        </w:trPr>
        <w:tc>
          <w:tcPr>
            <w:tcW w:w="4540" w:type="dxa"/>
            <w:vAlign w:val="bottom"/>
          </w:tcPr>
          <w:p>
            <w:pPr>
              <w:spacing w:after="0"/>
              <w:rPr>
                <w:sz w:val="13"/>
                <w:szCs w:val="13"/>
                <w:color w:val="auto"/>
              </w:rPr>
            </w:pPr>
          </w:p>
        </w:tc>
        <w:tc>
          <w:tcPr>
            <w:tcW w:w="3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margin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Net income margin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available to common stockholders margin</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income available to common stockholders per diluted share </w:t>
            </w:r>
            <w:r>
              <w:rPr>
                <w:rFonts w:ascii="Times New Roman" w:cs="Times New Roman" w:eastAsia="Times New Roman" w:hAnsi="Times New Roman"/>
                <w:sz w:val="10"/>
                <w:szCs w:val="10"/>
                <w:color w:val="auto"/>
              </w:rPr>
              <w:t>(1)</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margin</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excluding noncontrolling interest</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excluding noncontrolling interest margin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Funds From Operations (FFO) available to common stockholders and unit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holders</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FFO available to common stockholders and unit holders per diluted</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share/unit </w:t>
            </w:r>
            <w:r>
              <w:rPr>
                <w:rFonts w:ascii="Times New Roman" w:cs="Times New Roman" w:eastAsia="Times New Roman" w:hAnsi="Times New Roman"/>
                <w:sz w:val="10"/>
                <w:szCs w:val="10"/>
                <w:color w:val="auto"/>
              </w:rPr>
              <w:t>(1)</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Adjusted FFO available to common stockholders and unit holders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Adjusted FFO available to common stockholders and unit holders per diluted</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share/unit </w:t>
            </w:r>
            <w:r>
              <w:rPr>
                <w:rFonts w:ascii="Times New Roman" w:cs="Times New Roman" w:eastAsia="Times New Roman" w:hAnsi="Times New Roman"/>
                <w:sz w:val="10"/>
                <w:szCs w:val="10"/>
                <w:color w:val="auto"/>
              </w:rPr>
              <w:t>(1)</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-2179320</wp:posOffset>
            </wp:positionV>
            <wp:extent cx="6292215" cy="93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-1990725</wp:posOffset>
            </wp:positionV>
            <wp:extent cx="6292215" cy="93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-1802130</wp:posOffset>
            </wp:positionV>
            <wp:extent cx="6292215"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-1613535</wp:posOffset>
            </wp:positionV>
            <wp:extent cx="6292215" cy="93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-1424940</wp:posOffset>
            </wp:positionV>
            <wp:extent cx="6292215" cy="93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-1236345</wp:posOffset>
            </wp:positionV>
            <wp:extent cx="6292215"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-1047750</wp:posOffset>
            </wp:positionV>
            <wp:extent cx="6292215"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-859155</wp:posOffset>
            </wp:positionV>
            <wp:extent cx="6292215"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-575945</wp:posOffset>
            </wp:positionV>
            <wp:extent cx="629221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885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-293370</wp:posOffset>
            </wp:positionV>
            <wp:extent cx="6292215" cy="94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946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-2376170</wp:posOffset>
            </wp:positionV>
            <wp:extent cx="629221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15684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wp:posOffset>
            </wp:positionV>
            <wp:extent cx="3248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2"/>
        </w:trPr>
        <w:tc>
          <w:tcPr>
            <w:tcW w:w="1240" w:type="dxa"/>
            <w:vAlign w:val="bottom"/>
            <w:vMerge w:val="restart"/>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tcPr>
          <w:p>
            <w:pPr>
              <w:spacing w:after="0"/>
              <w:rPr>
                <w:sz w:val="11"/>
                <w:szCs w:val="11"/>
                <w:color w:val="auto"/>
              </w:rPr>
            </w:pPr>
          </w:p>
        </w:tc>
        <w:tc>
          <w:tcPr>
            <w:tcW w:w="146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1"/>
                <w:szCs w:val="11"/>
                <w:color w:val="auto"/>
              </w:rPr>
            </w:pPr>
          </w:p>
        </w:tc>
        <w:tc>
          <w:tcPr>
            <w:tcW w:w="1040" w:type="dxa"/>
            <w:vAlign w:val="bottom"/>
          </w:tcPr>
          <w:p>
            <w:pPr>
              <w:jc w:val="right"/>
              <w:ind w:right="368"/>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664,572</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587,280</w:t>
            </w:r>
          </w:p>
        </w:tc>
        <w:tc>
          <w:tcPr>
            <w:tcW w:w="20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235"/>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137,796</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116,121</w:t>
            </w:r>
          </w:p>
        </w:tc>
        <w:tc>
          <w:tcPr>
            <w:tcW w:w="20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18.7 %</w:t>
            </w:r>
          </w:p>
        </w:tc>
        <w:tc>
          <w:tcPr>
            <w:tcW w:w="0" w:type="dxa"/>
            <w:vAlign w:val="bottom"/>
          </w:tcPr>
          <w:p>
            <w:pPr>
              <w:spacing w:after="0"/>
              <w:rPr>
                <w:sz w:val="1"/>
                <w:szCs w:val="1"/>
                <w:color w:val="auto"/>
              </w:rPr>
            </w:pPr>
          </w:p>
        </w:tc>
      </w:tr>
      <w:tr>
        <w:trPr>
          <w:trHeight w:val="188"/>
        </w:trPr>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20.7 %</w:t>
            </w:r>
          </w:p>
        </w:tc>
        <w:tc>
          <w:tcPr>
            <w:tcW w:w="440" w:type="dxa"/>
            <w:vAlign w:val="bottom"/>
          </w:tcPr>
          <w:p>
            <w:pPr>
              <w:spacing w:after="0"/>
              <w:rPr>
                <w:sz w:val="16"/>
                <w:szCs w:val="16"/>
                <w:color w:val="auto"/>
              </w:rPr>
            </w:pPr>
          </w:p>
        </w:tc>
        <w:tc>
          <w:tcPr>
            <w:tcW w:w="14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19.8 %</w:t>
            </w:r>
          </w:p>
        </w:tc>
        <w:tc>
          <w:tcPr>
            <w:tcW w:w="2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0.9 pts</w:t>
            </w:r>
          </w:p>
        </w:tc>
        <w:tc>
          <w:tcPr>
            <w:tcW w:w="0" w:type="dxa"/>
            <w:vAlign w:val="bottom"/>
          </w:tcPr>
          <w:p>
            <w:pPr>
              <w:spacing w:after="0"/>
              <w:rPr>
                <w:sz w:val="1"/>
                <w:szCs w:val="1"/>
                <w:color w:val="auto"/>
              </w:rPr>
            </w:pPr>
          </w:p>
        </w:tc>
      </w:tr>
      <w:tr>
        <w:trPr>
          <w:trHeight w:val="257"/>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69,402</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63,014</w:t>
            </w:r>
          </w:p>
        </w:tc>
        <w:tc>
          <w:tcPr>
            <w:tcW w:w="2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r>
        <w:trPr>
          <w:trHeight w:val="188"/>
        </w:trPr>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10.4 %</w:t>
            </w:r>
          </w:p>
        </w:tc>
        <w:tc>
          <w:tcPr>
            <w:tcW w:w="440" w:type="dxa"/>
            <w:vAlign w:val="bottom"/>
          </w:tcPr>
          <w:p>
            <w:pPr>
              <w:spacing w:after="0"/>
              <w:rPr>
                <w:sz w:val="16"/>
                <w:szCs w:val="16"/>
                <w:color w:val="auto"/>
              </w:rPr>
            </w:pPr>
          </w:p>
        </w:tc>
        <w:tc>
          <w:tcPr>
            <w:tcW w:w="14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10.7 %</w:t>
            </w:r>
          </w:p>
        </w:tc>
        <w:tc>
          <w:tcPr>
            <w:tcW w:w="2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(0.3)pts</w:t>
            </w:r>
          </w:p>
        </w:tc>
        <w:tc>
          <w:tcPr>
            <w:tcW w:w="0" w:type="dxa"/>
            <w:vAlign w:val="bottom"/>
          </w:tcPr>
          <w:p>
            <w:pPr>
              <w:spacing w:after="0"/>
              <w:rPr>
                <w:sz w:val="1"/>
                <w:szCs w:val="1"/>
                <w:color w:val="auto"/>
              </w:rPr>
            </w:pPr>
          </w:p>
        </w:tc>
      </w:tr>
      <w:tr>
        <w:trPr>
          <w:trHeight w:val="257"/>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70,475</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62,961</w:t>
            </w:r>
          </w:p>
        </w:tc>
        <w:tc>
          <w:tcPr>
            <w:tcW w:w="2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148"/>
        </w:trPr>
        <w:tc>
          <w:tcPr>
            <w:tcW w:w="12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10.6 %</w:t>
            </w:r>
          </w:p>
        </w:tc>
        <w:tc>
          <w:tcPr>
            <w:tcW w:w="44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10.7 %</w:t>
            </w:r>
          </w:p>
        </w:tc>
        <w:tc>
          <w:tcPr>
            <w:tcW w:w="200" w:type="dxa"/>
            <w:vAlign w:val="bottom"/>
          </w:tcPr>
          <w:p>
            <w:pPr>
              <w:spacing w:after="0"/>
              <w:rPr>
                <w:sz w:val="12"/>
                <w:szCs w:val="12"/>
                <w:color w:val="auto"/>
              </w:rPr>
            </w:pP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(0.1)pts</w:t>
            </w:r>
          </w:p>
        </w:tc>
        <w:tc>
          <w:tcPr>
            <w:tcW w:w="0" w:type="dxa"/>
            <w:vAlign w:val="bottom"/>
          </w:tcPr>
          <w:p>
            <w:pPr>
              <w:spacing w:after="0"/>
              <w:rPr>
                <w:sz w:val="1"/>
                <w:szCs w:val="1"/>
                <w:color w:val="auto"/>
              </w:rPr>
            </w:pPr>
          </w:p>
        </w:tc>
      </w:tr>
      <w:tr>
        <w:trPr>
          <w:trHeight w:val="188"/>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vMerge w:val="continue"/>
          </w:tcPr>
          <w:p>
            <w:pPr>
              <w:spacing w:after="0"/>
              <w:rPr>
                <w:sz w:val="16"/>
                <w:szCs w:val="16"/>
                <w:color w:val="auto"/>
              </w:rPr>
            </w:pP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57"/>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219,293</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185,502</w:t>
            </w:r>
          </w:p>
        </w:tc>
        <w:tc>
          <w:tcPr>
            <w:tcW w:w="20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148"/>
        </w:trPr>
        <w:tc>
          <w:tcPr>
            <w:tcW w:w="1240" w:type="dxa"/>
            <w:vAlign w:val="bottom"/>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33.0 %</w:t>
            </w:r>
          </w:p>
        </w:tc>
        <w:tc>
          <w:tcPr>
            <w:tcW w:w="44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31.6 %</w:t>
            </w:r>
          </w:p>
        </w:tc>
        <w:tc>
          <w:tcPr>
            <w:tcW w:w="200" w:type="dxa"/>
            <w:vAlign w:val="bottom"/>
          </w:tcPr>
          <w:p>
            <w:pPr>
              <w:spacing w:after="0"/>
              <w:rPr>
                <w:sz w:val="12"/>
                <w:szCs w:val="12"/>
                <w:color w:val="auto"/>
              </w:rPr>
            </w:pP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 pts</w:t>
            </w:r>
          </w:p>
        </w:tc>
        <w:tc>
          <w:tcPr>
            <w:tcW w:w="0" w:type="dxa"/>
            <w:vAlign w:val="bottom"/>
          </w:tcPr>
          <w:p>
            <w:pPr>
              <w:spacing w:after="0"/>
              <w:rPr>
                <w:sz w:val="1"/>
                <w:szCs w:val="1"/>
                <w:color w:val="auto"/>
              </w:rPr>
            </w:pPr>
          </w:p>
        </w:tc>
      </w:tr>
      <w:tr>
        <w:trPr>
          <w:trHeight w:val="148"/>
        </w:trPr>
        <w:tc>
          <w:tcPr>
            <w:tcW w:w="124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215,136</w:t>
            </w:r>
          </w:p>
        </w:tc>
        <w:tc>
          <w:tcPr>
            <w:tcW w:w="440" w:type="dxa"/>
            <w:vAlign w:val="bottom"/>
            <w:vMerge w:val="continue"/>
          </w:tcPr>
          <w:p>
            <w:pPr>
              <w:spacing w:after="0"/>
              <w:rPr>
                <w:sz w:val="12"/>
                <w:szCs w:val="12"/>
                <w:color w:val="auto"/>
              </w:rPr>
            </w:pPr>
          </w:p>
        </w:tc>
        <w:tc>
          <w:tcPr>
            <w:tcW w:w="1460" w:type="dxa"/>
            <w:vAlign w:val="bottom"/>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179,876</w:t>
            </w:r>
          </w:p>
        </w:tc>
        <w:tc>
          <w:tcPr>
            <w:tcW w:w="200" w:type="dxa"/>
            <w:vAlign w:val="bottom"/>
          </w:tcPr>
          <w:p>
            <w:pPr>
              <w:spacing w:after="0"/>
              <w:rPr>
                <w:sz w:val="12"/>
                <w:szCs w:val="12"/>
                <w:color w:val="auto"/>
              </w:rPr>
            </w:pPr>
          </w:p>
        </w:tc>
        <w:tc>
          <w:tcPr>
            <w:tcW w:w="104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188"/>
        </w:trPr>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32.4 %</w:t>
            </w:r>
          </w:p>
        </w:tc>
        <w:tc>
          <w:tcPr>
            <w:tcW w:w="440" w:type="dxa"/>
            <w:vAlign w:val="bottom"/>
          </w:tcPr>
          <w:p>
            <w:pPr>
              <w:spacing w:after="0"/>
              <w:rPr>
                <w:sz w:val="16"/>
                <w:szCs w:val="16"/>
                <w:color w:val="auto"/>
              </w:rPr>
            </w:pPr>
          </w:p>
        </w:tc>
        <w:tc>
          <w:tcPr>
            <w:tcW w:w="14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30.6 %</w:t>
            </w:r>
          </w:p>
        </w:tc>
        <w:tc>
          <w:tcPr>
            <w:tcW w:w="2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 pts</w:t>
            </w:r>
          </w:p>
        </w:tc>
        <w:tc>
          <w:tcPr>
            <w:tcW w:w="0" w:type="dxa"/>
            <w:vAlign w:val="bottom"/>
          </w:tcPr>
          <w:p>
            <w:pPr>
              <w:spacing w:after="0"/>
              <w:rPr>
                <w:sz w:val="1"/>
                <w:szCs w:val="1"/>
                <w:color w:val="auto"/>
              </w:rPr>
            </w:pPr>
          </w:p>
        </w:tc>
      </w:tr>
      <w:tr>
        <w:trPr>
          <w:trHeight w:val="445"/>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143,472</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123,975</w:t>
            </w:r>
          </w:p>
        </w:tc>
        <w:tc>
          <w:tcPr>
            <w:tcW w:w="20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15.7 %</w:t>
            </w:r>
          </w:p>
        </w:tc>
        <w:tc>
          <w:tcPr>
            <w:tcW w:w="0" w:type="dxa"/>
            <w:vAlign w:val="bottom"/>
          </w:tcPr>
          <w:p>
            <w:pPr>
              <w:spacing w:after="0"/>
              <w:rPr>
                <w:sz w:val="1"/>
                <w:szCs w:val="1"/>
                <w:color w:val="auto"/>
              </w:rPr>
            </w:pPr>
          </w:p>
        </w:tc>
      </w:tr>
      <w:tr>
        <w:trPr>
          <w:trHeight w:val="297"/>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2.14</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1.98</w:t>
            </w:r>
          </w:p>
        </w:tc>
        <w:tc>
          <w:tcPr>
            <w:tcW w:w="20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97"/>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156,078</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130,896</w:t>
            </w:r>
          </w:p>
        </w:tc>
        <w:tc>
          <w:tcPr>
            <w:tcW w:w="20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19.2 %</w:t>
            </w:r>
          </w:p>
        </w:tc>
        <w:tc>
          <w:tcPr>
            <w:tcW w:w="0" w:type="dxa"/>
            <w:vAlign w:val="bottom"/>
          </w:tcPr>
          <w:p>
            <w:pPr>
              <w:spacing w:after="0"/>
              <w:rPr>
                <w:sz w:val="1"/>
                <w:szCs w:val="1"/>
                <w:color w:val="auto"/>
              </w:rPr>
            </w:pPr>
          </w:p>
        </w:tc>
      </w:tr>
      <w:tr>
        <w:trPr>
          <w:trHeight w:val="297"/>
        </w:trPr>
        <w:tc>
          <w:tcPr>
            <w:tcW w:w="12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2.32</w:t>
            </w: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2.10</w:t>
            </w:r>
          </w:p>
        </w:tc>
        <w:tc>
          <w:tcPr>
            <w:tcW w:w="20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10.5 %</w:t>
            </w: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2">
            <w:col w:w="4880" w:space="660"/>
            <w:col w:w="4380"/>
          </w:cols>
          <w:pgMar w:left="980" w:top="114" w:right="999" w:bottom="1440" w:gutter="0" w:footer="0" w:header="0"/>
          <w:type w:val="continuous"/>
        </w:sectPr>
      </w:pPr>
    </w:p>
    <w:p>
      <w:pPr>
        <w:jc w:val="both"/>
        <w:ind w:left="340" w:hanging="332"/>
        <w:spacing w:after="0" w:line="236"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weighted average common shares for the three months ended March 31, 2026 includes the impact of approximately 3.0 million additional shares issued on May 21, 2025. Diluted weighted average common shares for the three months ended March 31, 2026 and 2025 include 4.4 million and 3.7 million, respectively, in equivalent shares related to the currently unexercisable investor put rights associated with the noncontrolling interest in the Company's OEG business, which may be settled in cash or shares at the Company's option.</w:t>
      </w:r>
    </w:p>
    <w:p>
      <w:pPr>
        <w:spacing w:after="0" w:line="6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Note: For the Company’s definitions of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margin,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excluding noncontrolling interest,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excluding noncontrolling interest margin, FFO available to common stockholders and unit holders, and Adjusted FFO available to common stockholders and unit holders, as well as a reconciliation of the non-GAAP financial measure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to Net Income and a reconciliation of the non-GAAP financial measures FFO available to common stockholders and unit holders and Adjusted FFO available to common stockholders and unit holders to Net Income, see “Non-GAAP Financial Measures,”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and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Excluding Noncontrolling Interest Definition,”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Margin and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Excluding Noncontrolling Interest Margin Definition” “FFO, Adjusted FFO, and Adjusted FFO Available to Common Stockholders and Unit Holders Definition” and “Supplemental Financial Results”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Hospitality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Hospitality revenue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585,389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497,730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Same-store Hospitality revenue </w:t>
            </w:r>
            <w:r>
              <w:rPr>
                <w:rFonts w:ascii="Times New Roman" w:cs="Times New Roman" w:eastAsia="Times New Roman" w:hAnsi="Times New Roman"/>
                <w:sz w:val="25"/>
                <w:szCs w:val="25"/>
                <w:color w:val="auto"/>
                <w:vertAlign w:val="superscript"/>
              </w:rPr>
              <w:t>(1)</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511,521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497,730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Hospitality operating income</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145,087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116,809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Hospitality operating income margin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 xml:space="preserve">24.8 </w:t>
            </w: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Hospitality Adjusted EBITDA</w:t>
            </w:r>
            <w:r>
              <w:rPr>
                <w:rFonts w:ascii="Times New Roman" w:cs="Times New Roman" w:eastAsia="Times New Roman" w:hAnsi="Times New Roman"/>
                <w:sz w:val="17"/>
                <w:szCs w:val="17"/>
                <w:i w:val="1"/>
                <w:iCs w:val="1"/>
                <w:color w:val="auto"/>
              </w:rPr>
              <w:t>re</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212,570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172,974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Hospitality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 xml:space="preserve">36.3 </w:t>
            </w: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xml:space="preserve">34.8 </w:t>
            </w: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Same-store Hospitality operating income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120,832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116,809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Same-store Hospitality operating income margin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Same-store Hospitality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180,256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172,974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Same-store Hospitality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 xml:space="preserve">35.2 </w:t>
            </w: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 xml:space="preserve">34.8 </w:t>
            </w: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Hospitality performance metrics: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68.1 %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69.7 %</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Average Daily Rate (ADR)</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295.21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264.40</w:t>
            </w:r>
          </w:p>
        </w:tc>
        <w:tc>
          <w:tcPr>
            <w:tcW w:w="200" w:type="dxa"/>
            <w:vAlign w:val="bottom"/>
          </w:tcPr>
          <w:p>
            <w:pPr>
              <w:spacing w:after="0"/>
              <w:rPr>
                <w:sz w:val="17"/>
                <w:szCs w:val="17"/>
                <w:color w:val="auto"/>
              </w:rPr>
            </w:pPr>
          </w:p>
        </w:tc>
        <w:tc>
          <w:tcPr>
            <w:tcW w:w="10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11.7 %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201.08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184.21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526.07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484.52</w:t>
            </w:r>
          </w:p>
        </w:tc>
        <w:tc>
          <w:tcPr>
            <w:tcW w:w="200" w:type="dxa"/>
            <w:vAlign w:val="bottom"/>
          </w:tcPr>
          <w:p>
            <w:pPr>
              <w:spacing w:after="0"/>
              <w:rPr>
                <w:sz w:val="17"/>
                <w:szCs w:val="17"/>
                <w:color w:val="auto"/>
              </w:rPr>
            </w:pPr>
          </w:p>
        </w:tc>
        <w:tc>
          <w:tcPr>
            <w:tcW w:w="10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8.6 %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 xml:space="preserve">Same-store Hospitality performance metrics: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67.7 %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69.7 %</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277.76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264.40</w:t>
            </w:r>
          </w:p>
        </w:tc>
        <w:tc>
          <w:tcPr>
            <w:tcW w:w="200" w:type="dxa"/>
            <w:vAlign w:val="bottom"/>
          </w:tcPr>
          <w:p>
            <w:pPr>
              <w:spacing w:after="0"/>
              <w:rPr>
                <w:sz w:val="17"/>
                <w:szCs w:val="17"/>
                <w:color w:val="auto"/>
              </w:rPr>
            </w:pPr>
          </w:p>
        </w:tc>
        <w:tc>
          <w:tcPr>
            <w:tcW w:w="10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5.1 %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3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188.07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184.21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497.95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484.52</w:t>
            </w:r>
          </w:p>
        </w:tc>
        <w:tc>
          <w:tcPr>
            <w:tcW w:w="200" w:type="dxa"/>
            <w:vAlign w:val="bottom"/>
          </w:tcPr>
          <w:p>
            <w:pPr>
              <w:spacing w:after="0"/>
              <w:rPr>
                <w:sz w:val="17"/>
                <w:szCs w:val="17"/>
                <w:color w:val="auto"/>
              </w:rPr>
            </w:pPr>
          </w:p>
        </w:tc>
        <w:tc>
          <w:tcPr>
            <w:tcW w:w="10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Gross definite room nights booked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460,938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363,904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definite room nights booked</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242,269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205,194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Group attrition (as % of contracted block)</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17.7 %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15.5 %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Cancellations ITYFTY </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27,164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22,779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Hospitality excludes JW Marriott Desert Ridge, which was acquired June 10, 2025.</w:t>
      </w:r>
    </w:p>
    <w:p>
      <w:pPr>
        <w:spacing w:after="0" w:line="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“ITYFTY” represents In The Year For The Year.</w:t>
      </w:r>
    </w:p>
    <w:p>
      <w:pPr>
        <w:spacing w:after="0" w:line="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Note: For the Company’s definitions of Revenue Per Available Room (RevPAR) and Total Revenue Per Available Room (Total RevPAR), see “Calculation of RevPAR and Total RevPAR” below. Property-level results and operating metrics for first quarter 2026 are presented in greater detail below and under “Supplemental Financial Results— Hospitality Segment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Reconciliations and Operating Metrics,” which includes a reconciliation of the non-GAAP financial measures Hospitality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to Hospitality Operating Income, and property-level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to property-level Operating Income for each of the hotel properties.</w:t>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Hospitality Segment Highlights</w:t>
      </w:r>
    </w:p>
    <w:p>
      <w:pPr>
        <w:spacing w:after="0" w:line="282" w:lineRule="exact"/>
        <w:rPr>
          <w:sz w:val="20"/>
          <w:szCs w:val="20"/>
          <w:color w:val="auto"/>
        </w:rPr>
      </w:pPr>
    </w:p>
    <w:p>
      <w:pPr>
        <w:ind w:left="660" w:right="20" w:hanging="328"/>
        <w:spacing w:after="0" w:line="366"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same-store Hospitality portfolio generated RevPAR of approximately $188, an increase of 2.1% from the prior year quarter, and Total RevPAR of approximately $498, an increase of 2.8% from the prior year quarter.</w:t>
      </w:r>
    </w:p>
    <w:p>
      <w:pPr>
        <w:ind w:left="660" w:hanging="328"/>
        <w:spacing w:after="0" w:line="366"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The same-store Hospitality portfolio generated record first quarter operating income of $120.8 million, and record first quarter Adjusted EBITDAre of $180.3 million.</w:t>
      </w:r>
    </w:p>
    <w:p>
      <w:pPr>
        <w:ind w:left="660" w:right="20" w:hanging="328"/>
        <w:spacing w:after="0" w:line="366"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 quarter same-store banquet and AV revenue contribution per group room night, a proxy for catering spend per group guest, increased 6.6% year over year, driven by a more favorable group mix.</w:t>
      </w:r>
    </w:p>
    <w:p>
      <w:pPr>
        <w:ind w:left="660" w:right="20" w:hanging="328"/>
        <w:spacing w:after="0" w:line="366"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 quarter same-store attrition and cancellation fee revenue was approximately $7.5 million, an increase of $0.8 million compared to the prior year quarter.</w:t>
      </w:r>
    </w:p>
    <w:p>
      <w:pPr>
        <w:jc w:val="both"/>
        <w:ind w:left="660" w:hanging="328"/>
        <w:spacing w:after="0" w:line="370"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At the end of January, Winter Storm Fern impacted group attendance at Gaylord National and, to a lesser extent, Gaylord Texan and Gaylord Opryland. Excluding January, group attrition improved compared to the prior year quarter, and cancellations ITYFTY were essentially flat.</w:t>
      </w:r>
    </w:p>
    <w:p>
      <w:pPr>
        <w:spacing w:after="0" w:line="2" w:lineRule="exact"/>
        <w:rPr>
          <w:rFonts w:ascii="Times New Roman" w:cs="Times New Roman" w:eastAsia="Times New Roman" w:hAnsi="Times New Roman"/>
          <w:sz w:val="20"/>
          <w:szCs w:val="20"/>
          <w:color w:val="auto"/>
        </w:rPr>
      </w:pPr>
    </w:p>
    <w:p>
      <w:pPr>
        <w:ind w:left="660" w:hanging="328"/>
        <w:spacing w:after="0" w:line="400" w:lineRule="auto"/>
        <w:tabs>
          <w:tab w:leader="none" w:pos="6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Subsequent to quarter-end, the Company completed the Foundry Fieldhouse sports bar, pavilion, and event lawn development at Gaylord Opryland and the meeting space conversion project at JW Marriott Desert Ridge.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Gaylord Opryland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5"/>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128,379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110,178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39,822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30,098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48,516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38,148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37.8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34.6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18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277.60</w:t>
            </w:r>
          </w:p>
        </w:tc>
        <w:tc>
          <w:tcPr>
            <w:tcW w:w="140" w:type="dxa"/>
            <w:vAlign w:val="bottom"/>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262.57</w:t>
            </w:r>
          </w:p>
        </w:tc>
        <w:tc>
          <w:tcPr>
            <w:tcW w:w="140" w:type="dxa"/>
            <w:vAlign w:val="bottom"/>
          </w:tcPr>
          <w:p>
            <w:pPr>
              <w:spacing w:after="0"/>
              <w:rPr>
                <w:sz w:val="17"/>
                <w:szCs w:val="17"/>
                <w:color w:val="auto"/>
              </w:rPr>
            </w:pP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193.58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170.49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493.92</w:t>
            </w:r>
          </w:p>
        </w:tc>
        <w:tc>
          <w:tcPr>
            <w:tcW w:w="1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423.89</w:t>
            </w:r>
          </w:p>
        </w:tc>
        <w:tc>
          <w:tcPr>
            <w:tcW w:w="140" w:type="dxa"/>
            <w:vAlign w:val="bottom"/>
          </w:tcPr>
          <w:p>
            <w:pPr>
              <w:spacing w:after="0"/>
              <w:rPr>
                <w:sz w:val="19"/>
                <w:szCs w:val="19"/>
                <w:color w:val="auto"/>
              </w:rPr>
            </w:pP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16.5 %</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Gaylord Palms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4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97,646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88,393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29,743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23,782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26.9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39,474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32,947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37.3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22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301.35</w:t>
            </w:r>
          </w:p>
        </w:tc>
        <w:tc>
          <w:tcPr>
            <w:tcW w:w="1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276.14</w:t>
            </w:r>
          </w:p>
        </w:tc>
        <w:tc>
          <w:tcPr>
            <w:tcW w:w="140" w:type="dxa"/>
            <w:vAlign w:val="bottom"/>
          </w:tcPr>
          <w:p>
            <w:pPr>
              <w:spacing w:after="0"/>
              <w:rPr>
                <w:sz w:val="17"/>
                <w:szCs w:val="17"/>
                <w:color w:val="auto"/>
              </w:rPr>
            </w:pP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232.97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209.69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11.1 %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631.52</w:t>
            </w:r>
          </w:p>
        </w:tc>
        <w:tc>
          <w:tcPr>
            <w:tcW w:w="1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571.68</w:t>
            </w:r>
          </w:p>
        </w:tc>
        <w:tc>
          <w:tcPr>
            <w:tcW w:w="140" w:type="dxa"/>
            <w:vAlign w:val="bottom"/>
          </w:tcPr>
          <w:p>
            <w:pPr>
              <w:spacing w:after="0"/>
              <w:rPr>
                <w:sz w:val="19"/>
                <w:szCs w:val="19"/>
                <w:color w:val="auto"/>
              </w:rPr>
            </w:pP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auto"/>
        </w:rPr>
        <w:t>Gaylord Texan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ind w:left="50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83,371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86,377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23,805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27,695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(14.0)</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28.6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31,130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33,624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37.3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38.9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22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263.31</w:t>
            </w:r>
          </w:p>
        </w:tc>
        <w:tc>
          <w:tcPr>
            <w:tcW w:w="1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257.26</w:t>
            </w:r>
          </w:p>
        </w:tc>
        <w:tc>
          <w:tcPr>
            <w:tcW w:w="1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172.23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187.80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510.66</w:t>
            </w:r>
          </w:p>
        </w:tc>
        <w:tc>
          <w:tcPr>
            <w:tcW w:w="1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529.08</w:t>
            </w:r>
          </w:p>
        </w:tc>
        <w:tc>
          <w:tcPr>
            <w:tcW w:w="140" w:type="dxa"/>
            <w:vAlign w:val="bottom"/>
          </w:tcPr>
          <w:p>
            <w:pPr>
              <w:spacing w:after="0"/>
              <w:rPr>
                <w:sz w:val="19"/>
                <w:szCs w:val="19"/>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385"/>
        </w:trPr>
        <w:tc>
          <w:tcPr>
            <w:tcW w:w="66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Gaylord National</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ind w:left="50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74,227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80,829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(8.2)</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6,225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9,474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(34.3)</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15,742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19,031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(17.3)</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22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266.55</w:t>
            </w:r>
          </w:p>
        </w:tc>
        <w:tc>
          <w:tcPr>
            <w:tcW w:w="1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249.02</w:t>
            </w:r>
          </w:p>
        </w:tc>
        <w:tc>
          <w:tcPr>
            <w:tcW w:w="1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168.04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180.33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413.20</w:t>
            </w:r>
          </w:p>
        </w:tc>
        <w:tc>
          <w:tcPr>
            <w:tcW w:w="1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449.95</w:t>
            </w:r>
          </w:p>
        </w:tc>
        <w:tc>
          <w:tcPr>
            <w:tcW w:w="140" w:type="dxa"/>
            <w:vAlign w:val="bottom"/>
          </w:tcPr>
          <w:p>
            <w:pPr>
              <w:spacing w:after="0"/>
              <w:rPr>
                <w:sz w:val="19"/>
                <w:szCs w:val="19"/>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385"/>
        </w:trPr>
        <w:tc>
          <w:tcPr>
            <w:tcW w:w="66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Gaylord Rockies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ind w:left="50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72,249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70,948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14,445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14,823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20.0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(0.9)</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29,633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29,675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(0.8)</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22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258.62</w:t>
            </w:r>
          </w:p>
        </w:tc>
        <w:tc>
          <w:tcPr>
            <w:tcW w:w="1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257.09</w:t>
            </w:r>
          </w:p>
        </w:tc>
        <w:tc>
          <w:tcPr>
            <w:tcW w:w="1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195.08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185.68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5.1 %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534.82</w:t>
            </w:r>
          </w:p>
        </w:tc>
        <w:tc>
          <w:tcPr>
            <w:tcW w:w="1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525.19</w:t>
            </w:r>
          </w:p>
        </w:tc>
        <w:tc>
          <w:tcPr>
            <w:tcW w:w="140" w:type="dxa"/>
            <w:vAlign w:val="bottom"/>
          </w:tcPr>
          <w:p>
            <w:pPr>
              <w:spacing w:after="0"/>
              <w:rPr>
                <w:sz w:val="19"/>
                <w:szCs w:val="19"/>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JW Marriott Hill Country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50,295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7,208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(33.6)</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15,370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(17.7)</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220" w:type="dxa"/>
            <w:vAlign w:val="bottom"/>
          </w:tcPr>
          <w:p>
            <w:pPr>
              <w:spacing w:after="0"/>
              <w:rPr>
                <w:sz w:val="17"/>
                <w:szCs w:val="17"/>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337.63</w:t>
            </w:r>
          </w:p>
        </w:tc>
        <w:tc>
          <w:tcPr>
            <w:tcW w:w="14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321.54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198.01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557.72</w:t>
            </w:r>
          </w:p>
        </w:tc>
        <w:tc>
          <w:tcPr>
            <w:tcW w:w="1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JW Marriott Desert Ridge</w:t>
      </w:r>
      <w:r>
        <w:rPr>
          <w:rFonts w:ascii="Times New Roman" w:cs="Times New Roman" w:eastAsia="Times New Roman" w:hAnsi="Times New Roman"/>
          <w:sz w:val="29"/>
          <w:szCs w:val="29"/>
          <w:b w:val="1"/>
          <w:bCs w:val="1"/>
          <w:u w:val="single" w:color="auto"/>
          <w:color w:val="auto"/>
          <w:vertAlign w:val="superscript"/>
        </w:rPr>
        <w:t>(</w:t>
      </w:r>
      <w:r>
        <w:rPr>
          <w:rFonts w:ascii="Times New Roman" w:cs="Times New Roman" w:eastAsia="Times New Roman" w:hAnsi="Times New Roman"/>
          <w:sz w:val="29"/>
          <w:szCs w:val="29"/>
          <w:b w:val="1"/>
          <w:bCs w:val="1"/>
          <w:u w:val="single" w:color="auto"/>
          <w:color w:val="0000EE"/>
          <w:vertAlign w:val="superscript"/>
        </w:rPr>
        <w:t>1</w:t>
      </w:r>
      <w:r>
        <w:rPr>
          <w:rFonts w:ascii="Times New Roman" w:cs="Times New Roman" w:eastAsia="Times New Roman" w:hAnsi="Times New Roman"/>
          <w:sz w:val="29"/>
          <w:szCs w:val="29"/>
          <w:b w:val="1"/>
          <w:bCs w:val="1"/>
          <w:u w:val="single" w:color="auto"/>
          <w:color w:val="auto"/>
          <w:vertAlign w:val="superscript"/>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 except ADR, RevPAR, and Total RevPAR)</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3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80" w:type="dxa"/>
            <w:vAlign w:val="bottom"/>
          </w:tcPr>
          <w:p>
            <w:pPr>
              <w:ind w:left="8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73,868</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24,255</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32,314</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xml:space="preserve">43.7 </w:t>
            </w: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Performance metrics: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73.0 %</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ADR</w:t>
            </w: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489.75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RevPAR</w:t>
            </w:r>
          </w:p>
        </w:tc>
        <w:tc>
          <w:tcPr>
            <w:tcW w:w="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357.42</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RevPAR</w:t>
            </w: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863.95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Entertainment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0" w:type="dxa"/>
            <w:vAlign w:val="bottom"/>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79,183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89,550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4,253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10,316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(58.8)</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margin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15,681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20,939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(25.1)</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margin</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19.8 </w:t>
            </w: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7"/>
                <w:szCs w:val="17"/>
                <w:color w:val="auto"/>
              </w:rPr>
              <w:t>pts</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381" w:lineRule="auto"/>
        <w:rPr>
          <w:sz w:val="20"/>
          <w:szCs w:val="20"/>
          <w:color w:val="auto"/>
        </w:rPr>
      </w:pPr>
      <w:r>
        <w:rPr>
          <w:rFonts w:ascii="Times New Roman" w:cs="Times New Roman" w:eastAsia="Times New Roman" w:hAnsi="Times New Roman"/>
          <w:sz w:val="20"/>
          <w:szCs w:val="20"/>
          <w:color w:val="auto"/>
        </w:rPr>
        <w:t>Fioravanti continued, “Our Entertainment business delivered results in line with our expectations despite a challenging comparison to record first quarter performance in the prior year period and the unfavorable impact of Winter Storm Fern at our Nashville venues. Our Ole Red brand exceeded our expectations, particularly in Las Vegas and Nashville, and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1568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JW Marriott Desert Ridge was acquired by the Company on June 10, 2025, therefore there are no comparison figures.</w:t>
      </w:r>
    </w:p>
    <w:p>
      <w:pPr>
        <w:spacing w:after="0" w:line="19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4" w:right="979" w:bottom="1440" w:gutter="0" w:footer="0" w:header="0"/>
        </w:sectPr>
      </w:pPr>
    </w:p>
    <w:bookmarkStart w:id="9" w:name="page10"/>
    <w:bookmarkEnd w:id="9"/>
    <w:p>
      <w:pPr>
        <w:jc w:val="both"/>
        <w:spacing w:after="0" w:line="381" w:lineRule="auto"/>
        <w:rPr>
          <w:sz w:val="20"/>
          <w:szCs w:val="20"/>
          <w:color w:val="auto"/>
        </w:rPr>
      </w:pPr>
      <w:r>
        <w:rPr>
          <w:rFonts w:ascii="Times New Roman" w:cs="Times New Roman" w:eastAsia="Times New Roman" w:hAnsi="Times New Roman"/>
          <w:sz w:val="20"/>
          <w:szCs w:val="20"/>
          <w:color w:val="auto"/>
        </w:rPr>
        <w:t>excited to bring a seventh Ole Red to downtown Indianapolis, through a development agreement with the Pacers organization. Our growing platform of iconic brands is uniquely positioned to continue to serve the country music and live entertainment consumer and deliver attractive results.”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Corporate and Other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6600" w:type="dxa"/>
            <w:vAlign w:val="bottom"/>
            <w:tcBorders>
              <w:bottom w:val="single" w:sz="8" w:color="CCEEFF"/>
            </w:tcBorders>
          </w:tcPr>
          <w:p>
            <w:pPr>
              <w:ind w:left="64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(11,004)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w:t>
            </w: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(8,958)</w:t>
            </w:r>
          </w:p>
        </w:tc>
        <w:tc>
          <w:tcPr>
            <w:tcW w:w="520" w:type="dxa"/>
            <w:vAlign w:val="bottom"/>
            <w:gridSpan w:val="3"/>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(8,411)</w:t>
            </w: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w:t>
            </w: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287"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20"/>
          <w:szCs w:val="20"/>
          <w:color w:val="auto"/>
        </w:rPr>
        <w:t>In 2026, the Company expects to spend approximately $350 to $450 million on capital expenditures, including $114 million spent in the first quarter of 2026. Subsequent to quarter-end, the Company completed the Foundry Fieldhouse sports bar, pavilion, and event lawn development at Gaylord Opryland and the meeting space conversion project at JW Marriott Desert Ridge.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expenditures activity in 2026 includes:</w:t>
      </w:r>
    </w:p>
    <w:p>
      <w:pPr>
        <w:spacing w:after="0" w:line="229" w:lineRule="exact"/>
        <w:rPr>
          <w:sz w:val="20"/>
          <w:szCs w:val="20"/>
          <w:color w:val="auto"/>
        </w:rPr>
      </w:pPr>
    </w:p>
    <w:p>
      <w:pPr>
        <w:ind w:left="660" w:hanging="328"/>
        <w:spacing w:after="0" w:line="366"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Continuation of the meeting space expansion at Gaylord Opryland, which is expected to be completed by mid-year 2027;</w:t>
      </w:r>
    </w:p>
    <w:p>
      <w:pPr>
        <w:ind w:left="660" w:hanging="328"/>
        <w:spacing w:after="0" w:line="366"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Renovation of the rooms at Gaylord Texan, which began in July 2025 and is expected to be completed in August 2026;</w:t>
      </w:r>
    </w:p>
    <w:p>
      <w:pPr>
        <w:ind w:left="660" w:right="20" w:hanging="328"/>
        <w:spacing w:after="0" w:line="366"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Renovation of the rooms at JW Marriott Hill Country, which began in April 2026 and is expected to be completed in March 2027;</w:t>
      </w: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of Category 10 Las Vegas, which is expected to be completed in late 2026; and</w:t>
      </w:r>
    </w:p>
    <w:p>
      <w:pPr>
        <w:spacing w:after="0" w:line="121" w:lineRule="exact"/>
        <w:rPr>
          <w:rFonts w:ascii="Times New Roman" w:cs="Times New Roman" w:eastAsia="Times New Roman" w:hAnsi="Times New Roman"/>
          <w:sz w:val="20"/>
          <w:szCs w:val="20"/>
          <w:color w:val="auto"/>
        </w:rPr>
      </w:pPr>
    </w:p>
    <w:p>
      <w:pPr>
        <w:ind w:left="660" w:hanging="328"/>
        <w:spacing w:after="0" w:line="395"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of Category 10 in Orlando, which is expected to begin in summer 2026 and is expected to be completed in late 2027.</w:t>
      </w:r>
    </w:p>
    <w:p>
      <w:pPr>
        <w:spacing w:after="0" w:line="296"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20"/>
          <w:szCs w:val="20"/>
          <w:color w:val="auto"/>
        </w:rPr>
        <w:t>Subsequent to quarter-end, the Company announced the planned development of Ole Red Indianapolis by development partner Pacer Sports &amp; Entertainment, the organization behind the NBA Pacers and the WNBA Fever. The development is expected to be completed in late 2027, and OEG expects to invest approximately $15 million in 2027.</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84"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2026 Guidance</w:t>
      </w:r>
    </w:p>
    <w:p>
      <w:pPr>
        <w:spacing w:after="0" w:line="341"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20"/>
          <w:szCs w:val="20"/>
          <w:color w:val="auto"/>
        </w:rPr>
        <w:t>The Company is updating its 2026 business performance outlook based on current information as of April 30, 2026. The Company does not expect to update the guidance provided below before next quarter’s earnings release. However, the Company may update or withdraw its full business outlook or any portion thereof at any time for any reason.</w:t>
      </w:r>
    </w:p>
    <w:p>
      <w:pPr>
        <w:spacing w:after="0" w:line="167"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20"/>
          <w:szCs w:val="20"/>
          <w:color w:val="auto"/>
        </w:rPr>
        <w:t>Fioravanti concluded, “We are pleased to raise the midpoints of our 2026 guidance ranges to reflect stronger first quarter results in our Hospitality portfolio, including the JW Marriott Desert Ridge. Our outlook for the balance of the year continues to reflect measured confidence in our business. Demand from both group and leisure guests has remained resilient amid elevated geopolitical uncertainty, and our business model has proven to be durable across a range of operating environments.”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Guidance Range</w:t>
            </w:r>
          </w:p>
        </w:tc>
        <w:tc>
          <w:tcPr>
            <w:tcW w:w="80" w:type="dxa"/>
            <w:vAlign w:val="bottom"/>
          </w:tcPr>
          <w:p>
            <w:pPr>
              <w:spacing w:after="0"/>
              <w:rPr>
                <w:sz w:val="18"/>
                <w:szCs w:val="18"/>
                <w:color w:val="auto"/>
              </w:rPr>
            </w:pPr>
          </w:p>
        </w:tc>
        <w:tc>
          <w:tcPr>
            <w:tcW w:w="208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Prior Guidance Range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 xml:space="preserve">For Full Year 2026 </w:t>
            </w:r>
            <w:r>
              <w:rPr>
                <w:rFonts w:ascii="Times New Roman" w:cs="Times New Roman" w:eastAsia="Times New Roman" w:hAnsi="Times New Roman"/>
                <w:sz w:val="24"/>
                <w:szCs w:val="24"/>
                <w:b w:val="1"/>
                <w:bCs w:val="1"/>
                <w:color w:val="auto"/>
                <w:w w:val="96"/>
                <w:vertAlign w:val="superscript"/>
              </w:rPr>
              <w:t>(1)</w:t>
            </w:r>
          </w:p>
        </w:tc>
        <w:tc>
          <w:tcPr>
            <w:tcW w:w="80" w:type="dxa"/>
            <w:vAlign w:val="bottom"/>
          </w:tcPr>
          <w:p>
            <w:pPr>
              <w:spacing w:after="0"/>
              <w:rPr>
                <w:sz w:val="16"/>
                <w:szCs w:val="16"/>
                <w:color w:val="auto"/>
              </w:rPr>
            </w:pPr>
          </w:p>
        </w:tc>
        <w:tc>
          <w:tcPr>
            <w:tcW w:w="2080" w:type="dxa"/>
            <w:vAlign w:val="bottom"/>
            <w:gridSpan w:val="8"/>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 xml:space="preserve">Full Year 2026 </w:t>
            </w:r>
            <w:r>
              <w:rPr>
                <w:rFonts w:ascii="Times New Roman" w:cs="Times New Roman" w:eastAsia="Times New Roman" w:hAnsi="Times New Roman"/>
                <w:sz w:val="24"/>
                <w:szCs w:val="24"/>
                <w:b w:val="1"/>
                <w:bCs w:val="1"/>
                <w:color w:val="auto"/>
                <w:w w:val="96"/>
                <w:vertAlign w:val="superscript"/>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 millions, except per share figures)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7"/>
            <w:vMerge w:val="continue"/>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8"/>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Low</w:t>
            </w: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High</w:t>
            </w:r>
          </w:p>
        </w:tc>
        <w:tc>
          <w:tcPr>
            <w:tcW w:w="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Midpoint</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High</w:t>
            </w:r>
          </w:p>
        </w:tc>
        <w:tc>
          <w:tcPr>
            <w:tcW w:w="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Midpoint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Midpoint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Same-store Hospitality RevPAR growth</w:t>
            </w:r>
            <w:r>
              <w:rPr>
                <w:rFonts w:ascii="Times New Roman" w:cs="Times New Roman" w:eastAsia="Times New Roman" w:hAnsi="Times New Roman"/>
                <w:sz w:val="22"/>
                <w:szCs w:val="22"/>
                <w:color w:val="auto"/>
                <w:vertAlign w:val="superscript"/>
              </w:rPr>
              <w:t>(2)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3"/>
                <w:szCs w:val="13"/>
                <w:color w:val="auto"/>
              </w:rPr>
              <w:t xml:space="preserve">0.50 </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4"/>
          </w:tcPr>
          <w:p>
            <w:pPr>
              <w:spacing w:after="0" w:line="202" w:lineRule="exact"/>
              <w:rPr>
                <w:sz w:val="20"/>
                <w:szCs w:val="20"/>
                <w:color w:val="auto"/>
              </w:rPr>
            </w:pPr>
            <w:r>
              <w:rPr>
                <w:rFonts w:ascii="Times New Roman" w:cs="Times New Roman" w:eastAsia="Times New Roman" w:hAnsi="Times New Roman"/>
                <w:sz w:val="16"/>
                <w:szCs w:val="16"/>
                <w:color w:val="auto"/>
              </w:rPr>
              <w:t>Same-store Hospitality Total RevPAR growth</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3.50 %</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0.50 </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0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Hospitality (same-store) </w:t>
            </w:r>
            <w:r>
              <w:rPr>
                <w:rFonts w:ascii="Times New Roman" w:cs="Times New Roman" w:eastAsia="Times New Roman" w:hAnsi="Times New Roman"/>
                <w:sz w:val="24"/>
                <w:szCs w:val="24"/>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475.5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485.5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480.5</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466.5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483.5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475.0</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JW Marriott Desert Ridge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Entertainment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77.1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(49.8)</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Consolidated operating income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4"/>
              </w:rPr>
              <w:t>533.3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4"/>
              </w:rPr>
              <w:t>551.0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542.1</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521.3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547.0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534.1</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40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16"/>
                <w:szCs w:val="16"/>
                <w:i w:val="1"/>
                <w:iCs w:val="1"/>
                <w:color w:val="auto"/>
              </w:rPr>
              <w:t>re</w:t>
            </w: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 xml:space="preserve">Hospitality (same-store) </w:t>
            </w:r>
            <w:r>
              <w:rPr>
                <w:rFonts w:ascii="Times New Roman" w:cs="Times New Roman" w:eastAsia="Times New Roman" w:hAnsi="Times New Roman"/>
                <w:sz w:val="24"/>
                <w:szCs w:val="24"/>
                <w:color w:val="auto"/>
                <w:vertAlign w:val="superscript"/>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715.0</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735.0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725.0</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700.0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730.0</w:t>
            </w:r>
          </w:p>
        </w:tc>
        <w:tc>
          <w:tcPr>
            <w:tcW w:w="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715.0</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JW Marriott Desert Ridge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70.0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4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Entertainment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120.0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130.0</w:t>
            </w:r>
          </w:p>
        </w:tc>
        <w:tc>
          <w:tcPr>
            <w:tcW w:w="100" w:type="dxa"/>
            <w:vAlign w:val="bottom"/>
          </w:tcPr>
          <w:p>
            <w:pPr>
              <w:spacing w:after="0"/>
              <w:rPr>
                <w:sz w:val="24"/>
                <w:szCs w:val="24"/>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125.0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120.0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130.0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125.0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(39.0)</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(37.0)</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(39.0)</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4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Consolidated Adjusted EBITDA</w:t>
            </w:r>
            <w:r>
              <w:rPr>
                <w:rFonts w:ascii="Times New Roman" w:cs="Times New Roman" w:eastAsia="Times New Roman" w:hAnsi="Times New Roman"/>
                <w:sz w:val="16"/>
                <w:szCs w:val="16"/>
                <w:b w:val="1"/>
                <w:bCs w:val="1"/>
                <w:i w:val="1"/>
                <w:iCs w:val="1"/>
                <w:color w:val="auto"/>
              </w:rPr>
              <w:t>re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4"/>
              </w:rPr>
              <w:t>864.0</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4"/>
              </w:rPr>
              <w:t>902.0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883.0</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846.0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895.0</w:t>
            </w:r>
          </w:p>
        </w:tc>
        <w:tc>
          <w:tcPr>
            <w:tcW w:w="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870.5</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271.0</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279.0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275.0</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260.0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273.0</w:t>
            </w:r>
          </w:p>
        </w:tc>
        <w:tc>
          <w:tcPr>
            <w:tcW w:w="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266.5</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4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261.0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267.0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264.0</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250.0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261.0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255.5</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FFO available to common stockholders and unit holders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552.0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572.5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562.3</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535.0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563.5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549.3</w:t>
            </w:r>
          </w:p>
        </w:tc>
        <w:tc>
          <w:tcPr>
            <w:tcW w:w="1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402"/>
        </w:trPr>
        <w:tc>
          <w:tcPr>
            <w:tcW w:w="4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FFO available to common stockholders and unit holders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577.3</w:t>
            </w: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4"/>
              </w:rPr>
              <w:t>607.0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592.1</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559.3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597.0</w:t>
            </w:r>
          </w:p>
        </w:tc>
        <w:tc>
          <w:tcPr>
            <w:tcW w:w="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578.1</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4"/>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income available to common stockholders per diluted share </w:t>
            </w:r>
            <w:r>
              <w:rPr>
                <w:rFonts w:ascii="Times New Roman" w:cs="Times New Roman" w:eastAsia="Times New Roman" w:hAnsi="Times New Roman"/>
                <w:sz w:val="24"/>
                <w:szCs w:val="24"/>
                <w:color w:val="auto"/>
                <w:vertAlign w:val="superscript"/>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3.99</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3.93</w:t>
            </w:r>
          </w:p>
        </w:tc>
        <w:tc>
          <w:tcPr>
            <w:tcW w:w="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FFO available to common stockholders and unit holders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per diluted share/unit </w:t>
            </w:r>
            <w:r>
              <w:rPr>
                <w:rFonts w:ascii="Times New Roman" w:cs="Times New Roman" w:eastAsia="Times New Roman" w:hAnsi="Times New Roman"/>
                <w:sz w:val="24"/>
                <w:szCs w:val="24"/>
                <w:color w:val="auto"/>
                <w:vertAlign w:val="superscript"/>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8.77</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8.96</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9.00</w:t>
            </w:r>
          </w:p>
        </w:tc>
        <w:tc>
          <w:tcPr>
            <w:tcW w:w="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4"/>
          </w:tcPr>
          <w:p>
            <w:pPr>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outstanding - diluted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and OP units outstanding - diluted </w:t>
            </w:r>
            <w:r>
              <w:rPr>
                <w:rFonts w:ascii="Times New Roman" w:cs="Times New Roman" w:eastAsia="Times New Roman" w:hAnsi="Times New Roman"/>
                <w:sz w:val="24"/>
                <w:szCs w:val="24"/>
                <w:color w:val="auto"/>
                <w:vertAlign w:val="superscript"/>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JW Marriott Desert Ridge, except as otherwise noted. Amounts are calculated based on unrounded numbers.</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Hospitality excludes JW Marriott Desert Ridge, which was acquired June 10, 2025.</w:t>
      </w:r>
    </w:p>
    <w:p>
      <w:pPr>
        <w:ind w:left="340" w:hanging="332"/>
        <w:spacing w:after="0" w:line="239"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related to the currently unexercisable investor put rights associated with the noncontrolling interest in the Company’s OEG business, which may be settled in cash or shares at the Company’s option.</w:t>
      </w:r>
    </w:p>
    <w:p>
      <w:pPr>
        <w:spacing w:after="0" w:line="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Note: For reconciliations of Consolidated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guidance to Net Income, segment-level Adjusted EBITDA</w:t>
      </w:r>
      <w:r>
        <w:rPr>
          <w:rFonts w:ascii="Times New Roman" w:cs="Times New Roman" w:eastAsia="Times New Roman" w:hAnsi="Times New Roman"/>
          <w:sz w:val="14"/>
          <w:szCs w:val="14"/>
          <w:i w:val="1"/>
          <w:iCs w:val="1"/>
          <w:color w:val="auto"/>
        </w:rPr>
        <w:t>re</w:t>
      </w:r>
      <w:r>
        <w:rPr>
          <w:rFonts w:ascii="Times New Roman" w:cs="Times New Roman" w:eastAsia="Times New Roman" w:hAnsi="Times New Roman"/>
          <w:sz w:val="14"/>
          <w:szCs w:val="14"/>
          <w:color w:val="auto"/>
        </w:rPr>
        <w:t xml:space="preserve"> to segment-level Operating Income, and FFO and Adjusted FFO available to common stockholders and unit holders to Net Income available to common stockholders, see “Reconciliation of Forward-Looking Statements.”</w:t>
      </w:r>
    </w:p>
    <w:p>
      <w:pPr>
        <w:sectPr>
          <w:pgSz w:w="11900" w:h="16838" w:orient="portrait"/>
          <w:cols w:equalWidth="0" w:num="1">
            <w:col w:w="9920"/>
          </w:cols>
          <w:pgMar w:left="980" w:top="180" w:right="9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80"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Dividend Update</w:t>
      </w:r>
    </w:p>
    <w:p>
      <w:pPr>
        <w:spacing w:after="0" w:line="341" w:lineRule="exact"/>
        <w:rPr>
          <w:sz w:val="20"/>
          <w:szCs w:val="20"/>
          <w:color w:val="auto"/>
        </w:rPr>
      </w:pPr>
    </w:p>
    <w:p>
      <w:pPr>
        <w:jc w:val="both"/>
        <w:ind w:right="20"/>
        <w:spacing w:after="0" w:line="395" w:lineRule="auto"/>
        <w:rPr>
          <w:sz w:val="20"/>
          <w:szCs w:val="20"/>
          <w:color w:val="auto"/>
        </w:rPr>
      </w:pPr>
      <w:r>
        <w:rPr>
          <w:rFonts w:ascii="Times New Roman" w:cs="Times New Roman" w:eastAsia="Times New Roman" w:hAnsi="Times New Roman"/>
          <w:sz w:val="20"/>
          <w:szCs w:val="20"/>
          <w:color w:val="auto"/>
        </w:rPr>
        <w:t>On April 15, 2026, the Company paid the previously announced quarterly cash dividend of $1.20 per common share, which was paid to stockholders of record as of March 31, 2026.</w:t>
      </w:r>
    </w:p>
    <w:p>
      <w:pPr>
        <w:spacing w:after="0" w:line="174"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The Company’s dividend policy provides that it will distribute minimum dividends of 100% of REIT taxable income annually. Future dividends are subject to the Board’s future determinations as to amount and timing.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Sheet/Liquidity Update</w:t>
      </w:r>
    </w:p>
    <w:p>
      <w:pPr>
        <w:spacing w:after="0" w:line="341"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20"/>
          <w:szCs w:val="20"/>
          <w:color w:val="auto"/>
        </w:rPr>
        <w:t>As of March 31, 2026, the Company had unrestricted cash of $424.0 million and total debt outstanding of $3,968.4 million, net of unamortized deferred financing costs. As of March 31, 2026, there were no amounts drawn under the Company’s revolving credit facility or OEG’s revolving credit facility, which left $930.0 million of aggregate borrowing availability under the Company’s revolving credit facility and OEG’s revolving credit facility.</w:t>
      </w:r>
    </w:p>
    <w:p>
      <w:pPr>
        <w:spacing w:after="0" w:line="325"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In March 2026, the Company refinanced its $700 million senior unsecured notes due 2027 with the net proceeds of a new issuance of $700 million senior unsecured notes due 2034, together with cash on hand.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Information</w:t>
      </w:r>
    </w:p>
    <w:p>
      <w:pPr>
        <w:spacing w:after="0" w:line="341"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20"/>
          <w:szCs w:val="20"/>
          <w:color w:val="auto"/>
        </w:rPr>
        <w:t>Ryman Hospitality Properties will hold a conference call to discuss this release tomorrow, May 1, at 10:00 a.m. ET. Investors can listen to the conference call over the Internet at www.rymanhp.com. To listen to the live call, please go to the Investor Relations section of the website (Investor Relations/News &amp; Events/Events &amp; Presentation) at least 15 minutes prior to the call to register and download any necessary audio software. For those who cannot listen to the live broadcast, a replay will be available shortly after the call and will be available for at least 30 days.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Ryman Hospitality Properties, Inc.</w:t>
      </w:r>
    </w:p>
    <w:p>
      <w:pPr>
        <w:spacing w:after="0" w:line="355" w:lineRule="exact"/>
        <w:rPr>
          <w:sz w:val="20"/>
          <w:szCs w:val="20"/>
          <w:color w:val="auto"/>
        </w:rPr>
      </w:pPr>
    </w:p>
    <w:p>
      <w:pPr>
        <w:jc w:val="both"/>
        <w:spacing w:after="0" w:line="392" w:lineRule="auto"/>
        <w:rPr>
          <w:sz w:val="20"/>
          <w:szCs w:val="20"/>
          <w:color w:val="auto"/>
        </w:rPr>
      </w:pPr>
      <w:r>
        <w:rPr>
          <w:rFonts w:ascii="Times New Roman" w:cs="Times New Roman" w:eastAsia="Times New Roman" w:hAnsi="Times New Roman"/>
          <w:sz w:val="19"/>
          <w:szCs w:val="19"/>
          <w:color w:val="auto"/>
        </w:rPr>
        <w:t>Ryman Hospitality Properties, Inc. (NYSE: RHP) is a leading lodging and hospitality real estate investment trust that specializes in upscale convention center resorts and entertainment experiences. The Company’s holdings include Gaylord Opryland Resort &amp; Convention Center; Gaylord Palms Resort &amp; Convention Center; Gaylord Texan Resort &amp; Convention Center; Gaylord National Resort &amp; Convention Center; and Gaylord Rockies Resort &amp; Convention Center, five of the top seven largest non-gaming convention center hotels in the United States based on total indoor meeting space. The Company also owns JW Marriott Phoenix Desert Ridge Resort &amp; Spa and JW Marriott San Antonio Hill Country Resort &amp; Spa as well as two ancillary hotels adjacent to our Gaylord Hotels properties. The Company’s hotel portfolio is managed by Marriott International and includes a combined total of 12,364 rooms as well as more than 3 million square feet of total indoor and outdoor meeting space in top convention and leisure destinations across the country. RHP also owns an approximate 70% controlling ownership interest in Opry Entertainment Group (OEG), which is composed of entities owning a growing collection of iconic and emerging country music brands, including the Grand Ole Opry; Ryman Auditorium; WSM 650 AM; Ole Red; Category 10; Nashville-area attractions; Block 21, a mixed-use entertainment, lodging, office and</w:t>
      </w:r>
    </w:p>
    <w:p>
      <w:pPr>
        <w:sectPr>
          <w:pgSz w:w="11900" w:h="16838" w:orient="portrait"/>
          <w:cols w:equalWidth="0" w:num="1">
            <w:col w:w="9920"/>
          </w:cols>
          <w:pgMar w:left="980" w:top="180" w:right="999" w:bottom="1440" w:gutter="0" w:footer="0" w:header="0"/>
        </w:sectPr>
      </w:pPr>
    </w:p>
    <w:p>
      <w:pPr>
        <w:spacing w:after="0" w:line="114"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80" w:right="999" w:bottom="1440" w:gutter="0" w:footer="0" w:header="0"/>
          <w:type w:val="continuous"/>
        </w:sectPr>
      </w:pPr>
    </w:p>
    <w:bookmarkStart w:id="12" w:name="page13"/>
    <w:bookmarkEnd w:id="12"/>
    <w:p>
      <w:pPr>
        <w:jc w:val="both"/>
        <w:spacing w:after="0" w:line="377" w:lineRule="auto"/>
        <w:rPr>
          <w:sz w:val="20"/>
          <w:szCs w:val="20"/>
          <w:color w:val="auto"/>
        </w:rPr>
      </w:pPr>
      <w:r>
        <w:rPr>
          <w:rFonts w:ascii="Times New Roman" w:cs="Times New Roman" w:eastAsia="Times New Roman" w:hAnsi="Times New Roman"/>
          <w:sz w:val="20"/>
          <w:szCs w:val="20"/>
          <w:color w:val="auto"/>
        </w:rPr>
        <w:t>retail complex, including the W Austin Hotel and the ACL Live at the Moody Theater, located in downtown Austin, Texas. OEG manages select outdoor live music venues, including Ascend Federal Credit Union Amphitheater in Nashville and CCNB Amphitheatre in Simpsonville, South Carolina. OEG also owns a majority interest in Southern Entertainment, a leading festival and events business. RHP operates OEG as its Entertainment segment in a taxable REIT subsidiary, and its results are consolidated in the Company’s financial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34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future performance of the Company’s business, anticipated business levels and anticipated financial results for the Company during future periods, the Company’s expected cash dividend, and other business or operational issues. These forward-looking statements are subject to risks and uncertainties that could cause actual results to differ materially from the statements made. These include the risks and uncertainties associated with economic conditions affecting the hospitality business generally, the geographic concentration of the Company’s hotel properties, business levels at the Company’s hotels, geopolitical uncertainty and the effects of inflation and changes in international, national, regional and local economic and market conditions (such as the imposition of trade barriers or other changes in trade policy) on the Company’s business, including the effects on costs of labor and supplies and effects on group customers at the Company’s hotels and customers in OEG’s businesses, the Company’s ability to remain qualified as a REIT, the Company’s ability to execute our strategic goals as a REIT, the Company’s ability to generate cash flows to support dividends, future board determinations regarding the timing and amount of dividends and changes to the dividend policy, the Company’s ability to borrow funds pursuant to its credit agreements and to refinance indebtedness and/or to successfully amend the agreements governing its indebtedness in the future, changes in interest rates, the Company’s integration of the JW Marriott Desert Ridge, the Company’s ability to identify and capitalize on additional value creation opportunities at the JW Marriott Desert Ridge and the occurrence of any event, change or other circumstance that could limit the Company’s ability to capitalize on any additional value creation opportunities it identifies at the JW Marriott Desert Ridge. Other factors that could cause operating and financial results to differ are described in the filings made from time to time by the Company with the U.S. Securities and Exchange Commission (SEC) and include the risk factors and other risks and uncertainties described in the Company’s Annual Report on Form 10-K for the fiscal year ended December 31, 2025, and subsequent filings. Except as required by law, the Company does not undertake any obligation to release publicly any revisions to forward-looking statements made by it to reflect events or circumstances occurring after the date hereof or the occurrence of unanticipated events.</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84"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341" w:lineRule="exact"/>
        <w:rPr>
          <w:sz w:val="20"/>
          <w:szCs w:val="20"/>
          <w:color w:val="auto"/>
        </w:rPr>
      </w:pPr>
    </w:p>
    <w:p>
      <w:pPr>
        <w:jc w:val="both"/>
        <w:spacing w:after="0" w:line="414" w:lineRule="auto"/>
        <w:rPr>
          <w:sz w:val="20"/>
          <w:szCs w:val="20"/>
          <w:color w:val="auto"/>
        </w:rPr>
      </w:pPr>
      <w:r>
        <w:rPr>
          <w:rFonts w:ascii="Times New Roman" w:cs="Times New Roman" w:eastAsia="Times New Roman" w:hAnsi="Times New Roman"/>
          <w:sz w:val="19"/>
          <w:szCs w:val="19"/>
          <w:color w:val="auto"/>
        </w:rPr>
        <w:t>This release should be read in conjunction with the consolidated financial statements and notes thereto included in our most recent Annual Report on Form 10-K. Copies of our reports are available on our website at no expense at www.rymanhp.com and through the SEC’s Electronic Data Gathering Analysis and Retrieval System (“EDGAR”) at www.sec.gov.</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Calculation of RevPAR and Total RevPAR</w:t>
      </w:r>
    </w:p>
    <w:p>
      <w:pPr>
        <w:spacing w:after="0" w:line="12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20"/>
          <w:szCs w:val="20"/>
          <w:color w:val="auto"/>
        </w:rPr>
        <w:t>We calculate revenue per available room (“RevPAR”) for our hotels by dividing room revenue by room nights available to guests for the period. We calculate total revenue per available room (“Total RevPAR”) for our hotels by dividing the sum of room revenue, food &amp; beverage, and other ancillary services revenue by room nights available to guests for the period. Hospitality metrics do not include the results of the W Austin, which is included in the Entertainment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Calculation of GAAP Margin Figures</w:t>
      </w:r>
    </w:p>
    <w:p>
      <w:pPr>
        <w:spacing w:after="0" w:line="12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20"/>
          <w:szCs w:val="20"/>
          <w:color w:val="auto"/>
        </w:rPr>
        <w:t>We calculate net income available to common stockholders margin by dividing GAAP consolidated net income available to common stockholders by GAAP consolidated total revenue. We calculate consolidated, segment or property-level operating income margin by dividing consolidated, segment or property-level GAAP operating income by consolidated, segment or property-level GAAP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139" w:lineRule="exact"/>
        <w:rPr>
          <w:sz w:val="20"/>
          <w:szCs w:val="20"/>
          <w:color w:val="auto"/>
        </w:rPr>
      </w:pPr>
    </w:p>
    <w:p>
      <w:pPr>
        <w:jc w:val="both"/>
        <w:ind w:right="20"/>
        <w:spacing w:after="0" w:line="395" w:lineRule="auto"/>
        <w:rPr>
          <w:sz w:val="20"/>
          <w:szCs w:val="20"/>
          <w:color w:val="auto"/>
        </w:rPr>
      </w:pPr>
      <w:r>
        <w:rPr>
          <w:rFonts w:ascii="Times New Roman" w:cs="Times New Roman" w:eastAsia="Times New Roman" w:hAnsi="Times New Roman"/>
          <w:sz w:val="20"/>
          <w:szCs w:val="20"/>
          <w:color w:val="auto"/>
        </w:rPr>
        <w:t>We present the following non-GAAP financial measures we believe are useful to investors as key measures of our operating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EBITDAre, Adjusted EBITDAre and Adjusted EBITDAre, Excluding Noncontrolling Interest Definition</w:t>
      </w:r>
    </w:p>
    <w:p>
      <w:pPr>
        <w:spacing w:after="0" w:line="12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0"/>
          <w:szCs w:val="20"/>
          <w:color w:val="auto"/>
        </w:rPr>
        <w:t>We calculate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of unconsolidated affiliates.</w:t>
      </w:r>
    </w:p>
    <w:p>
      <w:pPr>
        <w:spacing w:after="0" w:line="193" w:lineRule="exact"/>
        <w:rPr>
          <w:sz w:val="20"/>
          <w:szCs w:val="20"/>
          <w:color w:val="auto"/>
        </w:rPr>
      </w:pPr>
    </w:p>
    <w:p>
      <w:pPr>
        <w:jc w:val="both"/>
        <w:spacing w:after="0" w:line="400" w:lineRule="auto"/>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is then calculated as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plus to the extent the following adjustments occurred during the periods presented:</w:t>
      </w:r>
    </w:p>
    <w:p>
      <w:pPr>
        <w:spacing w:after="0" w:line="4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preopening costs;</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lease expense;</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equity-based compensation expense;</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that do not meet the NAREIT definition above;</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losses on held-to-maturity securities;</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costs of acquisitions;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80" w:right="999" w:bottom="1440" w:gutter="0" w:footer="0" w:header="0"/>
        </w:sectPr>
      </w:pPr>
    </w:p>
    <w:bookmarkStart w:id="14" w:name="page15"/>
    <w:bookmarkEnd w:id="14"/>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on bonds;</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on extinguishment of debt;</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pension settlement charges;</w:t>
      </w:r>
    </w:p>
    <w:p>
      <w:pPr>
        <w:spacing w:after="0" w:line="11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rata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from unconsolidated joint ventures; and</w:t>
      </w:r>
    </w:p>
    <w:p>
      <w:pPr>
        <w:spacing w:after="0" w:line="12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adjustments we have identified herein.</w:t>
      </w:r>
    </w:p>
    <w:p>
      <w:pPr>
        <w:spacing w:after="0" w:line="333" w:lineRule="exact"/>
        <w:rPr>
          <w:sz w:val="20"/>
          <w:szCs w:val="20"/>
          <w:color w:val="auto"/>
        </w:rPr>
      </w:pPr>
    </w:p>
    <w:p>
      <w:pPr>
        <w:jc w:val="both"/>
        <w:ind w:right="20"/>
        <w:spacing w:after="0" w:line="400" w:lineRule="auto"/>
        <w:rPr>
          <w:sz w:val="20"/>
          <w:szCs w:val="20"/>
          <w:color w:val="auto"/>
        </w:rPr>
      </w:pPr>
      <w:r>
        <w:rPr>
          <w:rFonts w:ascii="Times New Roman" w:cs="Times New Roman" w:eastAsia="Times New Roman" w:hAnsi="Times New Roman"/>
          <w:sz w:val="20"/>
          <w:szCs w:val="20"/>
          <w:color w:val="auto"/>
        </w:rPr>
        <w:t>We then exclude the pro rata share of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related to noncontrolling interests to calculate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w:t>
      </w:r>
    </w:p>
    <w:p>
      <w:pPr>
        <w:spacing w:after="0" w:line="1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0"/>
          <w:szCs w:val="20"/>
          <w:color w:val="auto"/>
        </w:rPr>
        <w:t>We use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and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 and segment or property-level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and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or operating income, as applicable, is beneficial to an investor’s complete understanding of our operating performance. We make additional adjustments to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when evaluating our performance because we believe that presenting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and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 provides useful information to investors regarding our operating performance and debt leverage metrics.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EBITDAre Margin and Adjusted EBITDAre, Excluding Noncontrolling Interest Margin Definition</w:t>
      </w:r>
    </w:p>
    <w:p>
      <w:pPr>
        <w:spacing w:after="0" w:line="135"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0"/>
          <w:szCs w:val="20"/>
          <w:color w:val="auto"/>
        </w:rPr>
        <w:t>We calculate consolidated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 Margin by dividing consolidated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 by GAAP consolidated total revenue. We calculate consolidated, segment or property-level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Margin by dividing consolidated, segment-, or property-level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xml:space="preserve"> by consolidated, segment-, or property-level GAAP revenue. We believe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 Margin is useful to investors in evaluating our operating performance because this non-GAAP financial measure helps investors evaluate and compare the results of our operations from period to period by presenting a ratio showing the quantitative relationship between Adjusted EBITDA</w:t>
      </w:r>
      <w:r>
        <w:rPr>
          <w:rFonts w:ascii="Times New Roman" w:cs="Times New Roman" w:eastAsia="Times New Roman" w:hAnsi="Times New Roman"/>
          <w:sz w:val="20"/>
          <w:szCs w:val="20"/>
          <w:i w:val="1"/>
          <w:iCs w:val="1"/>
          <w:color w:val="auto"/>
        </w:rPr>
        <w:t>re</w:t>
      </w:r>
      <w:r>
        <w:rPr>
          <w:rFonts w:ascii="Times New Roman" w:cs="Times New Roman" w:eastAsia="Times New Roman" w:hAnsi="Times New Roman"/>
          <w:sz w:val="20"/>
          <w:szCs w:val="20"/>
          <w:color w:val="auto"/>
        </w:rPr>
        <w:t>, Excluding Noncontrolling Interest and GAAP consolidated total revenue or segment or property-level GAAP revenue,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FFO, Adjusted FFO, and Adjusted FFO Available to Common Stockholders and Unit Holders Definition</w:t>
      </w:r>
    </w:p>
    <w:p>
      <w:pPr>
        <w:spacing w:after="0" w:line="139"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0"/>
          <w:szCs w:val="20"/>
          <w:color w:val="auto"/>
        </w:rPr>
        <w:t>We calculate FFO,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84" w:right="999" w:bottom="1440" w:gutter="0" w:footer="0" w:header="0"/>
        </w:sectPr>
      </w:pPr>
    </w:p>
    <w:bookmarkStart w:id="15" w:name="page16"/>
    <w:bookmarkEnd w:id="15"/>
    <w:p>
      <w:pPr>
        <w:spacing w:after="0" w:line="395" w:lineRule="auto"/>
        <w:rPr>
          <w:sz w:val="20"/>
          <w:szCs w:val="20"/>
          <w:color w:val="auto"/>
        </w:rPr>
      </w:pPr>
      <w:r>
        <w:rPr>
          <w:rFonts w:ascii="Times New Roman" w:cs="Times New Roman" w:eastAsia="Times New Roman" w:hAnsi="Times New Roman"/>
          <w:sz w:val="20"/>
          <w:szCs w:val="20"/>
          <w:color w:val="auto"/>
        </w:rPr>
        <w:t>To calculate Adjusted FFO available to common stockholders and unit holders, we then exclude, to the extent the following adjustments occurred during the periods presented:</w:t>
      </w:r>
    </w:p>
    <w:p>
      <w:pPr>
        <w:spacing w:after="0" w:line="5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right-of-use asset amortization;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impairment charges that do not meet the NAREIT definition above;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write-offs of deferred financing costs;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amortization of debt discounts or premiums and amortization of deferred financing costs;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loss on extinguishment of debt;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non-cash lease expense;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credit loss on held-to-maturity securities;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pension settlement charges;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additional pro rata adjustments from unconsolidated joint ventures;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(gains) losses on other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transaction costs of acquisitions;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deferred income tax expense (benefit);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other adjustments we have identified herein.</w:t>
      </w:r>
    </w:p>
    <w:p>
      <w:pPr>
        <w:spacing w:after="0" w:line="337" w:lineRule="exact"/>
        <w:rPr>
          <w:sz w:val="20"/>
          <w:szCs w:val="20"/>
          <w:color w:val="auto"/>
        </w:rPr>
      </w:pPr>
    </w:p>
    <w:p>
      <w:pPr>
        <w:jc w:val="both"/>
        <w:spacing w:after="0" w:line="409" w:lineRule="auto"/>
        <w:rPr>
          <w:sz w:val="20"/>
          <w:szCs w:val="20"/>
          <w:color w:val="auto"/>
        </w:rPr>
      </w:pPr>
      <w:r>
        <w:rPr>
          <w:rFonts w:ascii="Times New Roman" w:cs="Times New Roman" w:eastAsia="Times New Roman" w:hAnsi="Times New Roman"/>
          <w:sz w:val="20"/>
          <w:szCs w:val="20"/>
          <w:color w:val="auto"/>
        </w:rPr>
        <w:t>FFO available to common stockholders and unit holders and Adjusted FFO available to common stockholders and unit holders exclude the ownership portion of the joint ventures not controlled or owned by the Company.</w:t>
      </w:r>
    </w:p>
    <w:p>
      <w:pPr>
        <w:spacing w:after="0" w:line="148" w:lineRule="exact"/>
        <w:rPr>
          <w:sz w:val="20"/>
          <w:szCs w:val="20"/>
          <w:color w:val="auto"/>
        </w:rPr>
      </w:pPr>
    </w:p>
    <w:p>
      <w:pPr>
        <w:jc w:val="both"/>
        <w:spacing w:after="0" w:line="377" w:lineRule="auto"/>
        <w:rPr>
          <w:sz w:val="20"/>
          <w:szCs w:val="20"/>
          <w:color w:val="auto"/>
        </w:rPr>
      </w:pPr>
      <w:r>
        <w:rPr>
          <w:rFonts w:ascii="Times New Roman" w:cs="Times New Roman" w:eastAsia="Times New Roman" w:hAnsi="Times New Roman"/>
          <w:sz w:val="20"/>
          <w:szCs w:val="20"/>
          <w:color w:val="auto"/>
        </w:rPr>
        <w:t>We present Adjusted FFO available to common stockholders and unit holders per diluted share/unit as a non-GAAP measure of our performance in addition to net income available to common stockholders per diluted share (calculated in accordance with GAAP). We calculate Adjusted FFO available to common stockholders and unit holders per diluted share/unit as Adjusted FFO (defined as set forth above) for a given operating period, as adjusted for the effect of dilutive securities, divided by the number of diluted shares and units outstanding during such period.</w:t>
      </w:r>
    </w:p>
    <w:p>
      <w:pPr>
        <w:spacing w:after="0" w:line="178"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0"/>
          <w:szCs w:val="20"/>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9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0"/>
          <w:szCs w:val="20"/>
          <w:color w:val="auto"/>
        </w:rPr>
        <w:t>We caution investors that non-GAAP financial measures we present may not be comparable to similar measures disclosed by other companies, because not all companies calculate these non-GAAP measures in the same manner. The non-GAAP financial measures we present, and any related per share measures,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84" w:right="999" w:bottom="1440" w:gutter="0" w:footer="0" w:header="0"/>
        </w:sectPr>
      </w:pPr>
    </w:p>
    <w:bookmarkStart w:id="16" w:name="page17"/>
    <w:bookmarkEnd w:id="16"/>
    <w:p>
      <w:pPr>
        <w:jc w:val="both"/>
        <w:spacing w:after="0" w:line="381" w:lineRule="auto"/>
        <w:rPr>
          <w:sz w:val="20"/>
          <w:szCs w:val="20"/>
          <w:color w:val="auto"/>
        </w:rPr>
      </w:pPr>
      <w:r>
        <w:rPr>
          <w:rFonts w:ascii="Times New Roman" w:cs="Times New Roman" w:eastAsia="Times New Roman" w:hAnsi="Times New Roman"/>
          <w:sz w:val="20"/>
          <w:szCs w:val="20"/>
          <w:color w:val="auto"/>
        </w:rPr>
        <w:t>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Investor Relations Contacts:</w:t>
            </w:r>
          </w:p>
        </w:tc>
        <w:tc>
          <w:tcPr>
            <w:tcW w:w="47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Media Contact:</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Mark Fioravanti, President and Chief Executive Officer</w:t>
            </w:r>
          </w:p>
        </w:tc>
        <w:tc>
          <w:tcPr>
            <w:tcW w:w="470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8"/>
              </w:rPr>
              <w:t>Shannon Sullivan, Vice President, Corporate and Brand</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(615) 316-6588</w:t>
            </w:r>
          </w:p>
        </w:tc>
        <w:tc>
          <w:tcPr>
            <w:tcW w:w="4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Communications</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mfioravanti@rymanhp.com</w:t>
            </w:r>
          </w:p>
        </w:tc>
        <w:tc>
          <w:tcPr>
            <w:tcW w:w="4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(615) 316-6725</w:t>
            </w:r>
          </w:p>
        </w:tc>
        <w:tc>
          <w:tcPr>
            <w:tcW w:w="0" w:type="dxa"/>
            <w:vAlign w:val="bottom"/>
          </w:tcPr>
          <w:p>
            <w:pPr>
              <w:spacing w:after="0"/>
              <w:rPr>
                <w:sz w:val="1"/>
                <w:szCs w:val="1"/>
                <w:color w:val="auto"/>
              </w:rPr>
            </w:pPr>
          </w:p>
        </w:tc>
      </w:tr>
      <w:tr>
        <w:trPr>
          <w:trHeight w:val="258"/>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Jennifer Hutcheson, Chief Financial Officer</w:t>
            </w:r>
          </w:p>
        </w:tc>
        <w:tc>
          <w:tcPr>
            <w:tcW w:w="4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ssullivan@rymanhp.com</w:t>
            </w:r>
          </w:p>
        </w:tc>
        <w:tc>
          <w:tcPr>
            <w:tcW w:w="0" w:type="dxa"/>
            <w:vAlign w:val="bottom"/>
          </w:tcPr>
          <w:p>
            <w:pPr>
              <w:spacing w:after="0"/>
              <w:rPr>
                <w:sz w:val="1"/>
                <w:szCs w:val="1"/>
                <w:color w:val="auto"/>
              </w:rPr>
            </w:pPr>
          </w:p>
        </w:tc>
      </w:tr>
      <w:tr>
        <w:trPr>
          <w:trHeight w:val="201"/>
        </w:trPr>
        <w:tc>
          <w:tcPr>
            <w:tcW w:w="4700" w:type="dxa"/>
            <w:vAlign w:val="bottom"/>
            <w:vMerge w:val="continue"/>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(615) 316-6320</w:t>
            </w: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jhutcheson@rymanhp.com</w:t>
            </w:r>
          </w:p>
        </w:tc>
        <w:tc>
          <w:tcPr>
            <w:tcW w:w="47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Sarah Martin, Vice President, Investor Relations</w:t>
      </w:r>
    </w:p>
    <w:p>
      <w:pPr>
        <w:spacing w:after="0" w:line="22" w:lineRule="exact"/>
        <w:rPr>
          <w:sz w:val="20"/>
          <w:szCs w:val="20"/>
          <w:color w:val="auto"/>
        </w:rPr>
      </w:pPr>
    </w:p>
    <w:p>
      <w:pPr>
        <w:ind w:right="7660" w:firstLine="8"/>
        <w:spacing w:after="0" w:line="271" w:lineRule="auto"/>
        <w:tabs>
          <w:tab w:leader="none" w:pos="47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316-6011 sarah.martin@rymanhp.com</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84" w:right="9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60" w:type="dxa"/>
            <w:vAlign w:val="bottom"/>
            <w:vMerge w:val="restart"/>
          </w:tcPr>
          <w:p>
            <w:pPr>
              <w:ind w:left="7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Rooms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223,758</w:t>
            </w:r>
          </w:p>
        </w:tc>
        <w:tc>
          <w:tcPr>
            <w:tcW w:w="5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Food and beverage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289,347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hotel revenue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72,284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Entertainment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79,183</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664,572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587,280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Rooms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Food and beverage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158,163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hotel expenses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144,622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Management fees, net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20,915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hotel operating expenses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374,294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Entertainment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65,109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Corporate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Preopening costs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75,701</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526,776</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471,159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137,796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116,121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 of amounts capitalized</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(64,119)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5,186</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unconsolidated joint ventures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gains and (losses), net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76,301</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(6,899)</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69,402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noncontrolling interest in OEG</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other noncontrolling interests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70,475</w:t>
            </w: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tcBorders>
              <w:righ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Basic income per share available to common stockholders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5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17"/>
                <w:szCs w:val="17"/>
                <w:color w:val="auto"/>
              </w:rPr>
              <w:t>Diluted income per share available to common stockholders</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gridSpan w:val="2"/>
            <w:vMerge w:val="continue"/>
          </w:tcPr>
          <w:p>
            <w:pPr>
              <w:spacing w:after="0"/>
              <w:rPr>
                <w:sz w:val="19"/>
                <w:szCs w:val="19"/>
                <w:color w:val="auto"/>
              </w:rPr>
            </w:pPr>
          </w:p>
        </w:tc>
        <w:tc>
          <w:tcPr>
            <w:tcW w:w="260" w:type="dxa"/>
            <w:vAlign w:val="bottom"/>
            <w:tcBorders>
              <w:bottom w:val="single" w:sz="8" w:color="auto"/>
            </w:tcBorders>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1.03</w:t>
            </w:r>
          </w:p>
        </w:tc>
        <w:tc>
          <w:tcPr>
            <w:tcW w:w="18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5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360" w:type="dxa"/>
            <w:vAlign w:val="bottom"/>
            <w:tcBorders>
              <w:top w:val="single" w:sz="8" w:color="CCEEFF"/>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for the period: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right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59,919</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7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67,663</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568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2" w:lineRule="exact"/>
        <w:rPr>
          <w:sz w:val="20"/>
          <w:szCs w:val="20"/>
          <w:color w:val="auto"/>
        </w:rPr>
      </w:pPr>
    </w:p>
    <w:p>
      <w:pPr>
        <w:jc w:val="both"/>
        <w:ind w:left="340" w:hanging="332"/>
        <w:spacing w:after="0" w:line="236" w:lineRule="auto"/>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weighted average common shares for the three months ended March 31, 2026 include the impact of approximately 3.0 million additional shares issued on May 21, 2025. Diluted weighted average common shares for the three months ended March 31, 2026 and 2025 include 4.4 million and 3.7 million, respectively, in equivalent shares related to the currently unexercisable investor put rights associated with the noncontrolling interest in the Company's OEG business, which may be settled in cash or shares at the Company's option.</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tcPr>
          <w:p>
            <w:pPr>
              <w:ind w:left="68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 net of accumulated depreciation</w:t>
            </w: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5,018,898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4,970,429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424,021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Notes receivable, net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Trade receivables, 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139,335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61,957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Intangible assets and goodwill, net</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282,148</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assets</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6,193,781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6,181,183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3,968,404</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3,976,913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544,482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Distributions payable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77,906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162,463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 in OEG</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433,394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equity</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770,817</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789,085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6,193,781</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6,181,183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114" w:right="9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7"/>
          <w:szCs w:val="17"/>
          <w:b w:val="1"/>
          <w:bCs w:val="1"/>
          <w:i w:val="1"/>
          <w:iCs w:val="1"/>
          <w:color w:val="auto"/>
        </w:rPr>
        <w:t>re</w:t>
      </w:r>
      <w:r>
        <w:rPr>
          <w:rFonts w:ascii="Times New Roman" w:cs="Times New Roman" w:eastAsia="Times New Roman" w:hAnsi="Times New Roman"/>
          <w:sz w:val="17"/>
          <w:szCs w:val="17"/>
          <w:b w:val="1"/>
          <w:bCs w:val="1"/>
          <w:color w:val="auto"/>
        </w:rPr>
        <w:t xml:space="preserve"> Reconciliation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820" w:type="dxa"/>
            <w:vAlign w:val="bottom"/>
          </w:tcPr>
          <w:p>
            <w:pPr>
              <w:spacing w:after="0"/>
              <w:rPr>
                <w:sz w:val="12"/>
                <w:szCs w:val="12"/>
                <w:color w:val="auto"/>
              </w:rPr>
            </w:pPr>
          </w:p>
        </w:tc>
        <w:tc>
          <w:tcPr>
            <w:tcW w:w="700" w:type="dxa"/>
            <w:vAlign w:val="bottom"/>
            <w:gridSpan w:val="3"/>
          </w:tcPr>
          <w:p>
            <w:pPr>
              <w:jc w:val="right"/>
              <w:ind w:right="51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Margin</w:t>
            </w:r>
          </w:p>
        </w:tc>
        <w:tc>
          <w:tcPr>
            <w:tcW w:w="180" w:type="dxa"/>
            <w:vAlign w:val="bottom"/>
            <w:tcBorders>
              <w:bottom w:val="single" w:sz="8" w:color="CCEEFF"/>
            </w:tcBorders>
            <w:gridSpan w:val="2"/>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Margin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Revenue</w:t>
            </w: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664,572</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3"/>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587,280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69,402</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10.4 %</w:t>
            </w:r>
          </w:p>
        </w:tc>
        <w:tc>
          <w:tcPr>
            <w:tcW w:w="70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63,014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10.7 %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Interest expense, net</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58,933</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48,824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75,701</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Pro rata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from unconsolidated joint ventures</w:t>
            </w:r>
          </w:p>
        </w:tc>
        <w:tc>
          <w:tcPr>
            <w:tcW w:w="9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auto"/>
              </w:rPr>
              <w:t>EBITDA</w:t>
            </w:r>
            <w:r>
              <w:rPr>
                <w:rFonts w:ascii="Times New Roman" w:cs="Times New Roman" w:eastAsia="Times New Roman" w:hAnsi="Times New Roman"/>
                <w:sz w:val="13"/>
                <w:szCs w:val="13"/>
                <w:i w:val="1"/>
                <w:iCs w:val="1"/>
                <w:color w:val="auto"/>
              </w:rPr>
              <w:t>re</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210,936</w:t>
            </w:r>
          </w:p>
        </w:tc>
        <w:tc>
          <w:tcPr>
            <w:tcW w:w="260" w:type="dxa"/>
            <w:vAlign w:val="bottom"/>
          </w:tcPr>
          <w:p>
            <w:pPr>
              <w:spacing w:after="0"/>
              <w:rPr>
                <w:sz w:val="12"/>
                <w:szCs w:val="12"/>
                <w:color w:val="auto"/>
              </w:rPr>
            </w:pPr>
          </w:p>
        </w:tc>
        <w:tc>
          <w:tcPr>
            <w:tcW w:w="8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31.7 %</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179,715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30.6 %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Preopening costs</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3,802</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Interest income on Gaylord National bonds</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Transaction costs of acquisitions</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p>
        </w:tc>
        <w:tc>
          <w:tcPr>
            <w:tcW w:w="9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219,293</w:t>
            </w:r>
          </w:p>
        </w:tc>
        <w:tc>
          <w:tcPr>
            <w:tcW w:w="2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33.0 %</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185,502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31.6 %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of noncontrolling interest</w:t>
            </w:r>
          </w:p>
        </w:tc>
        <w:tc>
          <w:tcPr>
            <w:tcW w:w="9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(4,157)</w:t>
            </w:r>
          </w:p>
        </w:tc>
        <w:tc>
          <w:tcPr>
            <w:tcW w:w="2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(5,626)</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excluding noncontrolling interest</w:t>
            </w:r>
          </w:p>
        </w:tc>
        <w:tc>
          <w:tcPr>
            <w:tcW w:w="9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215,136</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32.4 %</w:t>
            </w: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179,876</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30.6 %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Hospitality segment:</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Revenue</w:t>
            </w: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585,389</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3"/>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497,730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income</w:t>
            </w:r>
          </w:p>
        </w:tc>
        <w:tc>
          <w:tcPr>
            <w:tcW w:w="12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145,087</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24.8 %</w:t>
            </w:r>
          </w:p>
        </w:tc>
        <w:tc>
          <w:tcPr>
            <w:tcW w:w="70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116,809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23.5 %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66,008</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54,106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Interest income on Gaylord National bonds</w:t>
            </w:r>
          </w:p>
        </w:tc>
        <w:tc>
          <w:tcPr>
            <w:tcW w:w="9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2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p>
        </w:tc>
        <w:tc>
          <w:tcPr>
            <w:tcW w:w="9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212,570</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36.3 %</w:t>
            </w: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172,974</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Same-store Hospitality segment: </w:t>
            </w:r>
            <w:r>
              <w:rPr>
                <w:rFonts w:ascii="Times New Roman" w:cs="Times New Roman" w:eastAsia="Times New Roman" w:hAnsi="Times New Roman"/>
                <w:sz w:val="17"/>
                <w:szCs w:val="17"/>
                <w:b w:val="1"/>
                <w:bCs w:val="1"/>
                <w:color w:val="auto"/>
                <w:vertAlign w:val="superscript"/>
              </w:rPr>
              <w:t>(1)</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Revenue</w:t>
            </w: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511,521</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3"/>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497,730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income</w:t>
            </w:r>
          </w:p>
        </w:tc>
        <w:tc>
          <w:tcPr>
            <w:tcW w:w="12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120,832</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23.6 %</w:t>
            </w:r>
          </w:p>
        </w:tc>
        <w:tc>
          <w:tcPr>
            <w:tcW w:w="70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116,809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23.5 %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57,492</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54,106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3"/>
                <w:szCs w:val="13"/>
                <w:color w:val="auto"/>
              </w:rPr>
              <w:t>Interest income on Gaylord National bonds</w:t>
            </w:r>
          </w:p>
        </w:tc>
        <w:tc>
          <w:tcPr>
            <w:tcW w:w="9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2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p>
        </w:tc>
        <w:tc>
          <w:tcPr>
            <w:tcW w:w="9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180,256</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35.2 %</w:t>
            </w:r>
          </w:p>
        </w:tc>
        <w:tc>
          <w:tcPr>
            <w:tcW w:w="180" w:type="dxa"/>
            <w:vAlign w:val="bottom"/>
            <w:tcBorders>
              <w:bottom w:val="single" w:sz="8" w:color="CCEEFF"/>
            </w:tcBorders>
            <w:gridSpan w:val="2"/>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172,974</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34.8 %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Entertainment segment:</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Revenue</w:t>
            </w: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79,183</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3"/>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89,550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income</w:t>
            </w:r>
          </w:p>
        </w:tc>
        <w:tc>
          <w:tcPr>
            <w:tcW w:w="12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5.4 %</w:t>
            </w:r>
          </w:p>
        </w:tc>
        <w:tc>
          <w:tcPr>
            <w:tcW w:w="70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11.5 %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9,434</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Preopening costs</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Non-cash lease (revenue) expense</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(56)</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Other gains and (losses), net</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Transaction costs of acquisitions</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Pro rata adjusted EBITDA</w:t>
            </w:r>
            <w:r>
              <w:rPr>
                <w:rFonts w:ascii="Times New Roman" w:cs="Times New Roman" w:eastAsia="Times New Roman" w:hAnsi="Times New Roman"/>
                <w:sz w:val="13"/>
                <w:szCs w:val="13"/>
                <w:i w:val="1"/>
                <w:iCs w:val="1"/>
                <w:color w:val="auto"/>
              </w:rPr>
              <w:t>re</w:t>
            </w:r>
            <w:r>
              <w:rPr>
                <w:rFonts w:ascii="Times New Roman" w:cs="Times New Roman" w:eastAsia="Times New Roman" w:hAnsi="Times New Roman"/>
                <w:sz w:val="13"/>
                <w:szCs w:val="13"/>
                <w:color w:val="auto"/>
              </w:rPr>
              <w:t xml:space="preserve"> from unconsolidated joint ventures</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CCEEFF"/>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15,681</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93"/>
              <w:spacing w:after="0" w:line="142" w:lineRule="exact"/>
              <w:rPr>
                <w:sz w:val="20"/>
                <w:szCs w:val="20"/>
                <w:color w:val="auto"/>
              </w:rPr>
            </w:pPr>
            <w:r>
              <w:rPr>
                <w:rFonts w:ascii="Times New Roman" w:cs="Times New Roman" w:eastAsia="Times New Roman" w:hAnsi="Times New Roman"/>
                <w:sz w:val="13"/>
                <w:szCs w:val="13"/>
                <w:color w:val="auto"/>
              </w:rPr>
              <w:t>19.8 %</w:t>
            </w: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20,939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3"/>
              <w:spacing w:after="0" w:line="142" w:lineRule="exact"/>
              <w:rPr>
                <w:sz w:val="20"/>
                <w:szCs w:val="20"/>
                <w:color w:val="auto"/>
              </w:rPr>
            </w:pPr>
            <w:r>
              <w:rPr>
                <w:rFonts w:ascii="Times New Roman" w:cs="Times New Roman" w:eastAsia="Times New Roman" w:hAnsi="Times New Roman"/>
                <w:sz w:val="13"/>
                <w:szCs w:val="13"/>
                <w:color w:val="auto"/>
              </w:rPr>
              <w:t>23.4 %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Corporate and Other segment:</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Operating loss</w:t>
            </w: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(11,544)</w:t>
            </w:r>
          </w:p>
        </w:tc>
        <w:tc>
          <w:tcPr>
            <w:tcW w:w="820" w:type="dxa"/>
            <w:vAlign w:val="bottom"/>
          </w:tcPr>
          <w:p>
            <w:pPr>
              <w:spacing w:after="0"/>
              <w:rPr>
                <w:sz w:val="12"/>
                <w:szCs w:val="12"/>
                <w:color w:val="auto"/>
              </w:rPr>
            </w:pPr>
          </w:p>
        </w:tc>
        <w:tc>
          <w:tcPr>
            <w:tcW w:w="700" w:type="dxa"/>
            <w:vAlign w:val="bottom"/>
            <w:gridSpan w:val="3"/>
          </w:tcPr>
          <w:p>
            <w:pPr>
              <w:jc w:val="right"/>
              <w:ind w:right="45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(11,004)</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Other gains and (losses), net</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(361)</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(243)</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3"/>
                <w:szCs w:val="13"/>
                <w:i w:val="1"/>
                <w:iCs w:val="1"/>
                <w:color w:val="auto"/>
              </w:rPr>
              <w:t>re</w:t>
            </w:r>
          </w:p>
        </w:tc>
        <w:tc>
          <w:tcPr>
            <w:tcW w:w="940" w:type="dxa"/>
            <w:vAlign w:val="bottom"/>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(8,958)</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520" w:type="dxa"/>
            <w:vAlign w:val="bottom"/>
          </w:tcPr>
          <w:p>
            <w:pPr>
              <w:jc w:val="right"/>
              <w:ind w:right="450"/>
              <w:spacing w:after="0"/>
              <w:rPr>
                <w:sz w:val="20"/>
                <w:szCs w:val="20"/>
                <w:color w:val="auto"/>
              </w:rPr>
            </w:pPr>
            <w:r>
              <w:rPr>
                <w:rFonts w:ascii="Times New Roman" w:cs="Times New Roman" w:eastAsia="Times New Roman" w:hAnsi="Times New Roman"/>
                <w:sz w:val="4"/>
                <w:szCs w:val="4"/>
                <w:color w:val="auto"/>
                <w:w w:val="97"/>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(8,411)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Hospitality excludes JW Marriott Desert Ridge, which was acquired June 10, 2025.</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Funds From Operations (“FFO”) and Adjusted FFO Reconciliation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2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-3175</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7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70,475</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Noncontrolling interest in OP Units</w:t>
            </w: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available to common stockholders and unit holders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70,916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75,580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Adjustments for noncontrolling interest</w:t>
            </w:r>
          </w:p>
        </w:tc>
        <w:tc>
          <w:tcPr>
            <w:tcW w:w="7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FFO available to common stockholders and unit holders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143,472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Right-of-use asset amortization</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Non-cash lease expense</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debt discounts and premiums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Adjustments for noncontrolling interest</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tax provision</w:t>
            </w:r>
          </w:p>
        </w:tc>
        <w:tc>
          <w:tcPr>
            <w:tcW w:w="7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w:t>
            </w:r>
          </w:p>
        </w:tc>
        <w:tc>
          <w:tcPr>
            <w:tcW w:w="0" w:type="dxa"/>
            <w:vAlign w:val="bottom"/>
          </w:tcPr>
          <w:p>
            <w:pPr>
              <w:spacing w:after="0"/>
              <w:rPr>
                <w:sz w:val="1"/>
                <w:szCs w:val="1"/>
                <w:color w:val="auto"/>
              </w:rPr>
            </w:pPr>
          </w:p>
        </w:tc>
      </w:tr>
      <w:tr>
        <w:trPr>
          <w:trHeight w:val="236"/>
        </w:trPr>
        <w:tc>
          <w:tcPr>
            <w:tcW w:w="6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Adjusted FFO available to common stockholders and unit holders</w:t>
            </w:r>
          </w:p>
        </w:tc>
        <w:tc>
          <w:tcPr>
            <w:tcW w:w="720" w:type="dxa"/>
            <w:vAlign w:val="bottom"/>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156,078</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130,896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15"/>
                <w:szCs w:val="15"/>
                <w:color w:val="auto"/>
              </w:rPr>
            </w:pPr>
          </w:p>
        </w:tc>
        <w:tc>
          <w:tcPr>
            <w:tcW w:w="44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Basic net income per share</w:t>
            </w:r>
            <w:r>
              <w:rPr>
                <w:rFonts w:ascii="Times New Roman" w:cs="Times New Roman" w:eastAsia="Times New Roman" w:hAnsi="Times New Roman"/>
                <w:sz w:val="23"/>
                <w:szCs w:val="23"/>
                <w:color w:val="auto"/>
                <w:vertAlign w:val="superscript"/>
              </w:rPr>
              <w:t>(1)</w:t>
            </w: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Diluted net income per share</w:t>
            </w:r>
            <w:r>
              <w:rPr>
                <w:rFonts w:ascii="Times New Roman" w:cs="Times New Roman" w:eastAsia="Times New Roman" w:hAnsi="Times New Roman"/>
                <w:sz w:val="23"/>
                <w:szCs w:val="23"/>
                <w:color w:val="auto"/>
                <w:vertAlign w:val="superscript"/>
              </w:rPr>
              <w:t>(1)</w:t>
            </w:r>
          </w:p>
        </w:tc>
        <w:tc>
          <w:tcPr>
            <w:tcW w:w="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FFO available to common stockholders and unit holders per basic share/unit</w:t>
            </w:r>
            <w:r>
              <w:rPr>
                <w:rFonts w:ascii="Times New Roman" w:cs="Times New Roman" w:eastAsia="Times New Roman" w:hAnsi="Times New Roman"/>
                <w:sz w:val="23"/>
                <w:szCs w:val="23"/>
                <w:color w:val="auto"/>
                <w:vertAlign w:val="superscript"/>
              </w:rPr>
              <w:t>(1)</w:t>
            </w:r>
          </w:p>
        </w:tc>
        <w:tc>
          <w:tcPr>
            <w:tcW w:w="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Adjusted FFO available to common stockholders and unit holders per basic share/unit</w:t>
            </w:r>
            <w:r>
              <w:rPr>
                <w:rFonts w:ascii="Times New Roman" w:cs="Times New Roman" w:eastAsia="Times New Roman" w:hAnsi="Times New Roman"/>
                <w:sz w:val="23"/>
                <w:szCs w:val="23"/>
                <w:color w:val="auto"/>
                <w:vertAlign w:val="superscript"/>
              </w:rPr>
              <w:t>(1)</w:t>
            </w: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 xml:space="preserve">FFO available to common stockholders and unit holders per diluted share/unit </w:t>
            </w:r>
            <w:r>
              <w:rPr>
                <w:rFonts w:ascii="Times New Roman" w:cs="Times New Roman" w:eastAsia="Times New Roman" w:hAnsi="Times New Roman"/>
                <w:sz w:val="23"/>
                <w:szCs w:val="23"/>
                <w:color w:val="auto"/>
                <w:vertAlign w:val="superscript"/>
              </w:rPr>
              <w:t>(1)</w:t>
            </w:r>
          </w:p>
        </w:tc>
        <w:tc>
          <w:tcPr>
            <w:tcW w:w="9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Adjusted FFO available to common stockholders and unit holders per diluted share/unit </w:t>
            </w:r>
            <w:r>
              <w:rPr>
                <w:rFonts w:ascii="Times New Roman" w:cs="Times New Roman" w:eastAsia="Times New Roman" w:hAnsi="Times New Roman"/>
                <w:sz w:val="23"/>
                <w:szCs w:val="23"/>
                <w:color w:val="auto"/>
                <w:vertAlign w:val="superscript"/>
              </w:rPr>
              <w:t>(1)</w:t>
            </w:r>
          </w:p>
        </w:tc>
        <w:tc>
          <w:tcPr>
            <w:tcW w:w="9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and OP units for the period:</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6"/>
                <w:szCs w:val="16"/>
                <w:color w:val="auto"/>
              </w:rPr>
              <w:t>Basic</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gridSpan w:val="2"/>
            <w:shd w:val="clear" w:color="auto" w:fill="CCEEFF"/>
          </w:tcPr>
          <w:p>
            <w:pPr>
              <w:ind w:left="100"/>
              <w:spacing w:after="0" w:line="202" w:lineRule="exact"/>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3"/>
                <w:szCs w:val="23"/>
                <w:color w:val="auto"/>
                <w:vertAlign w:val="superscript"/>
              </w:rPr>
              <w:t>(1)</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68,058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hanging="332"/>
        <w:spacing w:after="0" w:line="236"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weighted average common shares for the three months ended March 31, 2026 include the impact of approximately 3.0 million additional shares issued on May 21, 2025. Diluted weighted average common shares for the three months ended March 31, 2026 and 2025 include 4.4 million and 3.7 million, respectively, in equivalent shares related to the currently unexercisable investor put rights associated with the noncontrolling interest in the Company's OEG business, which may be settled in cash or shares at the Company's option.</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Hospitality Segment Adjusted EBITDA</w:t>
      </w:r>
      <w:r>
        <w:rPr>
          <w:rFonts w:ascii="Times New Roman" w:cs="Times New Roman" w:eastAsia="Times New Roman" w:hAnsi="Times New Roman"/>
          <w:sz w:val="17"/>
          <w:szCs w:val="17"/>
          <w:b w:val="1"/>
          <w:bCs w:val="1"/>
          <w:i w:val="1"/>
          <w:iCs w:val="1"/>
          <w:color w:val="auto"/>
        </w:rPr>
        <w:t>re</w:t>
      </w:r>
      <w:r>
        <w:rPr>
          <w:rFonts w:ascii="Times New Roman" w:cs="Times New Roman" w:eastAsia="Times New Roman" w:hAnsi="Times New Roman"/>
          <w:sz w:val="17"/>
          <w:szCs w:val="17"/>
          <w:b w:val="1"/>
          <w:bCs w:val="1"/>
          <w:color w:val="auto"/>
        </w:rPr>
        <w:t xml:space="preserve"> Reconciliation and Operating Metrics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Hospitality segment:</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585,389</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497,730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145,087</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24.8 %</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116,809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66,008</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54,106</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Borders>
              <w:bottom w:val="single" w:sz="8" w:color="CCEEFF"/>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 on Gaylord National bonds</w:t>
            </w:r>
          </w:p>
        </w:tc>
        <w:tc>
          <w:tcPr>
            <w:tcW w:w="10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212,570</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36.3</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172,974</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68.1 %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69.7 %</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295.21</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201.08</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184.21</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324.99</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300.31</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526.07</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484.52</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Same-store Hospitality segment: </w:t>
            </w:r>
            <w:r>
              <w:rPr>
                <w:rFonts w:ascii="Times New Roman" w:cs="Times New Roman" w:eastAsia="Times New Roman" w:hAnsi="Times New Roman"/>
                <w:sz w:val="10"/>
                <w:szCs w:val="10"/>
                <w:b w:val="1"/>
                <w:bCs w:val="1"/>
                <w:color w:val="auto"/>
              </w:rPr>
              <w:t>(1)</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511,521</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497,730</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120,832</w:t>
            </w:r>
          </w:p>
        </w:tc>
        <w:tc>
          <w:tcPr>
            <w:tcW w:w="30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23.6 %</w:t>
            </w: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116,809</w:t>
            </w:r>
          </w:p>
        </w:tc>
        <w:tc>
          <w:tcPr>
            <w:tcW w:w="300" w:type="dxa"/>
            <w:vAlign w:val="bottom"/>
          </w:tcPr>
          <w:p>
            <w:pPr>
              <w:spacing w:after="0"/>
              <w:rPr>
                <w:sz w:val="12"/>
                <w:szCs w:val="12"/>
                <w:color w:val="auto"/>
              </w:rPr>
            </w:pPr>
          </w:p>
        </w:tc>
        <w:tc>
          <w:tcPr>
            <w:tcW w:w="9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23.5 %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57,492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54,106</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 on Gaylord National bonds</w:t>
            </w:r>
          </w:p>
        </w:tc>
        <w:tc>
          <w:tcPr>
            <w:tcW w:w="10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3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3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Borders>
              <w:bottom w:val="single" w:sz="8" w:color="CCEEFF"/>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180,256</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172,974</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67.7 %</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69.7 %</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277.76</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188.07</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184.21</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309.88</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300.31</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497.95</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484.52</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Gaylord Opryland:</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128,379</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110,178</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39,822</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31.0 %</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27.3 %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revenue</w:t>
            </w:r>
          </w:p>
        </w:tc>
        <w:tc>
          <w:tcPr>
            <w:tcW w:w="10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3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Borders>
              <w:bottom w:val="single" w:sz="8" w:color="CCEEFF"/>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48,516</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37.8</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38,148</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69.7 %</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64.9 %</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277.60</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262.57</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193.58</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170.49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300.34</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253.40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493.92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Gaylord Palms: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97,646</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88,393</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29,743</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30.5 %</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23,782</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8,815</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0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3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3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Borders>
              <w:bottom w:val="single" w:sz="8" w:color="CCEEFF"/>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39,474</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32,947</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37.3</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77.3 %</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75.9 %</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301.35</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276.14</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232.97</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209.69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398.55</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361.99</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631.52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571.68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Hospitality excludes JW Marriott Desert Ridge, which was acquired June 10, 2025.</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Hospitality Segment Adjusted EBITDA</w:t>
      </w:r>
      <w:r>
        <w:rPr>
          <w:rFonts w:ascii="Times New Roman" w:cs="Times New Roman" w:eastAsia="Times New Roman" w:hAnsi="Times New Roman"/>
          <w:sz w:val="17"/>
          <w:szCs w:val="17"/>
          <w:b w:val="1"/>
          <w:bCs w:val="1"/>
          <w:i w:val="1"/>
          <w:iCs w:val="1"/>
          <w:color w:val="auto"/>
        </w:rPr>
        <w:t>re</w:t>
      </w:r>
      <w:r>
        <w:rPr>
          <w:rFonts w:ascii="Times New Roman" w:cs="Times New Roman" w:eastAsia="Times New Roman" w:hAnsi="Times New Roman"/>
          <w:sz w:val="17"/>
          <w:szCs w:val="17"/>
          <w:b w:val="1"/>
          <w:bCs w:val="1"/>
          <w:color w:val="auto"/>
        </w:rPr>
        <w:t xml:space="preserve"> Reconciliation and Operating Metrics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Gaylord Texan:</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83,371</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86,377</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23,805</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28.6 %</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32.1 %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7,325</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5,929</w:t>
            </w: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31,130</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37.3</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33,624</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65.4 %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73.0 %</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263.31</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257.26</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338.43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341.28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510.66</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529.08</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Gaylord National:</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74,227</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80,829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6,225</w:t>
            </w:r>
          </w:p>
        </w:tc>
        <w:tc>
          <w:tcPr>
            <w:tcW w:w="30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8.4 %</w:t>
            </w: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9,474</w:t>
            </w:r>
          </w:p>
        </w:tc>
        <w:tc>
          <w:tcPr>
            <w:tcW w:w="300" w:type="dxa"/>
            <w:vAlign w:val="bottom"/>
          </w:tcPr>
          <w:p>
            <w:pPr>
              <w:spacing w:after="0"/>
              <w:rPr>
                <w:sz w:val="12"/>
                <w:szCs w:val="12"/>
                <w:color w:val="auto"/>
              </w:rPr>
            </w:pPr>
          </w:p>
        </w:tc>
        <w:tc>
          <w:tcPr>
            <w:tcW w:w="9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8,443</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income on Gaylord National bonds</w:t>
            </w:r>
          </w:p>
        </w:tc>
        <w:tc>
          <w:tcPr>
            <w:tcW w:w="10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15,742</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19,031</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63.0 %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72.4 %</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266.55</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249.02</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168.04</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180.33</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245.16</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269.62</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413.20</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449.95</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Gaylord Rockies: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72,249</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70,948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14,445</w:t>
            </w:r>
          </w:p>
        </w:tc>
        <w:tc>
          <w:tcPr>
            <w:tcW w:w="30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20.0 %</w:t>
            </w: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14,823</w:t>
            </w:r>
          </w:p>
        </w:tc>
        <w:tc>
          <w:tcPr>
            <w:tcW w:w="300" w:type="dxa"/>
            <w:vAlign w:val="bottom"/>
          </w:tcPr>
          <w:p>
            <w:pPr>
              <w:spacing w:after="0"/>
              <w:rPr>
                <w:sz w:val="12"/>
                <w:szCs w:val="12"/>
                <w:color w:val="auto"/>
              </w:rPr>
            </w:pPr>
          </w:p>
        </w:tc>
        <w:tc>
          <w:tcPr>
            <w:tcW w:w="9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20.9 %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15,188</w:t>
            </w:r>
          </w:p>
        </w:tc>
        <w:tc>
          <w:tcPr>
            <w:tcW w:w="3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14,852</w:t>
            </w:r>
          </w:p>
        </w:tc>
        <w:tc>
          <w:tcPr>
            <w:tcW w:w="3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29,633</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29,675</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75.4 %</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72.2 %</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258.62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257.09</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195.08</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185.68</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339.74</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339.51</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534.82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JW Marriott Hill Country:</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50,295</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55,276</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7,208</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14.3 %</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19.6 %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8,162</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10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15,370</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18,680</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58.6 %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67.9 %</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337.63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321.54</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13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198.01</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218.38</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13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359.71</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394.57</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RevPAR</w:t>
            </w:r>
          </w:p>
        </w:tc>
        <w:tc>
          <w:tcPr>
            <w:tcW w:w="13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557.72</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612.95</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Hospitality Segment Adjusted EBITDA</w:t>
      </w:r>
      <w:r>
        <w:rPr>
          <w:rFonts w:ascii="Times New Roman" w:cs="Times New Roman" w:eastAsia="Times New Roman" w:hAnsi="Times New Roman"/>
          <w:sz w:val="17"/>
          <w:szCs w:val="17"/>
          <w:b w:val="1"/>
          <w:bCs w:val="1"/>
          <w:i w:val="1"/>
          <w:iCs w:val="1"/>
          <w:color w:val="auto"/>
        </w:rPr>
        <w:t>re</w:t>
      </w:r>
      <w:r>
        <w:rPr>
          <w:rFonts w:ascii="Times New Roman" w:cs="Times New Roman" w:eastAsia="Times New Roman" w:hAnsi="Times New Roman"/>
          <w:sz w:val="17"/>
          <w:szCs w:val="17"/>
          <w:b w:val="1"/>
          <w:bCs w:val="1"/>
          <w:color w:val="auto"/>
        </w:rPr>
        <w:t xml:space="preserve"> Reconciliation and Operating Metrics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Margin</w:t>
            </w:r>
          </w:p>
        </w:tc>
        <w:tc>
          <w:tcPr>
            <w:tcW w:w="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JW Marriott Desert Ridge:</w:t>
            </w: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73,868</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24,255</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32.8 %</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N/A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8,516</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revenue</w:t>
            </w: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23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32,314</w:t>
            </w:r>
          </w:p>
        </w:tc>
        <w:tc>
          <w:tcPr>
            <w:tcW w:w="30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73.0 %</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N/A %</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489.75</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357.42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506.53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863.95</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AC Hotel at National Harbor:</w:t>
            </w: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2,336</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23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336</w:t>
            </w:r>
          </w:p>
        </w:tc>
        <w:tc>
          <w:tcPr>
            <w:tcW w:w="3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45.7 %</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54.8 %</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247.89</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255.03</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139.70</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135.24</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156.14</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The Inn at Opryland: </w:t>
            </w:r>
            <w:r>
              <w:rPr>
                <w:rFonts w:ascii="Times New Roman" w:cs="Times New Roman" w:eastAsia="Times New Roman" w:hAnsi="Times New Roman"/>
                <w:sz w:val="10"/>
                <w:szCs w:val="10"/>
                <w:b w:val="1"/>
                <w:bCs w:val="1"/>
                <w:color w:val="auto"/>
              </w:rPr>
              <w:t>(1)</w:t>
            </w: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3,018</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3,031</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30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2"/>
                <w:szCs w:val="12"/>
                <w:color w:val="auto"/>
              </w:rPr>
            </w:pPr>
          </w:p>
        </w:tc>
        <w:tc>
          <w:tcPr>
            <w:tcW w:w="9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3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3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3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4"/>
                <w:szCs w:val="14"/>
                <w:i w:val="1"/>
                <w:iCs w:val="1"/>
                <w:color w:val="auto"/>
              </w:rPr>
              <w:t>re</w:t>
            </w:r>
          </w:p>
        </w:tc>
        <w:tc>
          <w:tcPr>
            <w:tcW w:w="2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387</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533</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Performance metrics:</w:t>
            </w:r>
          </w:p>
        </w:tc>
        <w:tc>
          <w:tcPr>
            <w:tcW w:w="2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2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44.2 %</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43.8 %</w:t>
            </w: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198.35</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188.12</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87.67</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82.46</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OtherPAR</w:t>
            </w:r>
          </w:p>
        </w:tc>
        <w:tc>
          <w:tcPr>
            <w:tcW w:w="2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w:t>
            </w:r>
          </w:p>
        </w:tc>
        <w:tc>
          <w:tcPr>
            <w:tcW w:w="2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110.69</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111.12</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hospitality revenue and expense.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Financial Results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Earnings Per Share, FFO Per Share and Adjusted FFO Per Share Calculations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80" w:type="dxa"/>
            <w:vAlign w:val="bottom"/>
            <w:vMerge w:val="restart"/>
          </w:tcPr>
          <w:p>
            <w:pPr>
              <w:ind w:left="74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245"/>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Numerator:</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 available to common stockholders</w:t>
            </w:r>
          </w:p>
        </w:tc>
        <w:tc>
          <w:tcPr>
            <w:tcW w:w="28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70,475</w:t>
            </w:r>
          </w:p>
        </w:tc>
        <w:tc>
          <w:tcPr>
            <w:tcW w:w="480" w:type="dxa"/>
            <w:vAlign w:val="bottom"/>
            <w:gridSpan w:val="2"/>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62,961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 (loss) attributable to noncontrolling interest in OEG</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(588)</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bottom w:val="single" w:sz="8" w:color="CCEEFF"/>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income available to common stockholders - if-converted method</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69,887</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63,672</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Denominator: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Weighted average shares outstanding - basic</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63,023</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59,919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Effect of dilutive equity-based compensation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 xml:space="preserve">Effect of dilutive put rights </w:t>
            </w: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4,434</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tcBorders>
              <w:bottom w:val="single" w:sz="8" w:color="CCEEFF"/>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Weighted average shares outstanding - diluted</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67,663</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63,813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7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Basic income per share available to common stockholders</w:t>
            </w:r>
          </w:p>
        </w:tc>
        <w:tc>
          <w:tcPr>
            <w:tcW w:w="28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w:t>
            </w:r>
          </w:p>
        </w:tc>
        <w:tc>
          <w:tcPr>
            <w:tcW w:w="480" w:type="dxa"/>
            <w:vAlign w:val="bottom"/>
            <w:gridSpan w:val="2"/>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xml:space="preserve">Diluted income per share available to common stockholders </w:t>
            </w:r>
            <w:r>
              <w:rPr>
                <w:rFonts w:ascii="Times New Roman" w:cs="Times New Roman" w:eastAsia="Times New Roman" w:hAnsi="Times New Roman"/>
                <w:sz w:val="11"/>
                <w:szCs w:val="11"/>
                <w:color w:val="auto"/>
              </w:rPr>
              <w:t>(1)</w:t>
            </w:r>
          </w:p>
        </w:tc>
        <w:tc>
          <w:tcPr>
            <w:tcW w:w="280" w:type="dxa"/>
            <w:vAlign w:val="bottom"/>
            <w:gridSpan w:val="2"/>
            <w:shd w:val="clear" w:color="auto" w:fill="CCEEFF"/>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w:t>
            </w:r>
          </w:p>
        </w:tc>
        <w:tc>
          <w:tcPr>
            <w:tcW w:w="480" w:type="dxa"/>
            <w:vAlign w:val="bottom"/>
            <w:gridSpan w:val="2"/>
            <w:shd w:val="clear" w:color="auto" w:fill="CCEEFF"/>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FFO per share/unit: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Numerator:</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FFO available to common stockholders and unit holders</w:t>
            </w:r>
          </w:p>
        </w:tc>
        <w:tc>
          <w:tcPr>
            <w:tcW w:w="28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143,472</w:t>
            </w:r>
          </w:p>
        </w:tc>
        <w:tc>
          <w:tcPr>
            <w:tcW w:w="480" w:type="dxa"/>
            <w:vAlign w:val="bottom"/>
            <w:gridSpan w:val="2"/>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123,975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 (loss) attributable to noncontrolling interest in OEG</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(588)</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FFO adjustments for noncontrolling interest in OEG</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2,651</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FFO available to common stockholders and unit holders - if-converted method</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145,535</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127,319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Denominator:</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Weighted average shares and OP units outstanding - basic</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63,418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60,314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Effect of dilutive equity-based compensation</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 xml:space="preserve">Effect of dilutive put rights </w:t>
            </w:r>
            <w:r>
              <w:rPr>
                <w:rFonts w:ascii="Times New Roman" w:cs="Times New Roman" w:eastAsia="Times New Roman" w:hAnsi="Times New Roman"/>
                <w:sz w:val="11"/>
                <w:szCs w:val="11"/>
                <w:color w:val="auto"/>
              </w:rPr>
              <w:t>(1)</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4,434</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Weighted average shares and OP units outstanding - diluted</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68,058</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64,208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FFO available to common stockholders and unit holders per basic share/unit</w:t>
            </w:r>
          </w:p>
        </w:tc>
        <w:tc>
          <w:tcPr>
            <w:tcW w:w="280" w:type="dxa"/>
            <w:vAlign w:val="bottom"/>
            <w:gridSpan w:val="2"/>
            <w:shd w:val="clear" w:color="auto" w:fill="CCEEFF"/>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2.26</w:t>
            </w:r>
          </w:p>
        </w:tc>
        <w:tc>
          <w:tcPr>
            <w:tcW w:w="480" w:type="dxa"/>
            <w:vAlign w:val="bottom"/>
            <w:gridSpan w:val="2"/>
            <w:shd w:val="clear" w:color="auto" w:fill="CCEEFF"/>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xml:space="preserve">FFO available to common stockholders and unit holders per diluted share/unit </w:t>
            </w:r>
            <w:r>
              <w:rPr>
                <w:rFonts w:ascii="Times New Roman" w:cs="Times New Roman" w:eastAsia="Times New Roman" w:hAnsi="Times New Roman"/>
                <w:sz w:val="11"/>
                <w:szCs w:val="11"/>
                <w:color w:val="auto"/>
              </w:rPr>
              <w:t>(1)</w:t>
            </w:r>
          </w:p>
        </w:tc>
        <w:tc>
          <w:tcPr>
            <w:tcW w:w="28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w:t>
            </w:r>
          </w:p>
        </w:tc>
        <w:tc>
          <w:tcPr>
            <w:tcW w:w="480" w:type="dxa"/>
            <w:vAlign w:val="bottom"/>
            <w:gridSpan w:val="2"/>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Adjusted FFO per share/unit: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Numerator: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Adjusted FFO available to common stockholders and unit holders</w:t>
            </w:r>
          </w:p>
        </w:tc>
        <w:tc>
          <w:tcPr>
            <w:tcW w:w="280" w:type="dxa"/>
            <w:vAlign w:val="bottom"/>
            <w:gridSpan w:val="2"/>
            <w:shd w:val="clear" w:color="auto" w:fill="CCEEFF"/>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156,078</w:t>
            </w:r>
          </w:p>
        </w:tc>
        <w:tc>
          <w:tcPr>
            <w:tcW w:w="480" w:type="dxa"/>
            <w:vAlign w:val="bottom"/>
            <w:gridSpan w:val="2"/>
            <w:shd w:val="clear" w:color="auto" w:fill="CCEEFF"/>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130,896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income (loss) attributable to noncontrolling interest in OEG</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FFO adjustments for noncontrolling interest in OEG</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2,651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Adjusted FFO adjustments for noncontrolling interest in OEG</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Adjusted FFO available to common stockholders and unit holders - if-converted method</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158,183</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Denominator:</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Weighted average shares and OP units outstanding - basic</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63,418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60,314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Effect of dilutive equity-based compensation</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206</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 xml:space="preserve">Effect of dilutive put rights </w:t>
            </w:r>
            <w:r>
              <w:rPr>
                <w:rFonts w:ascii="Times New Roman" w:cs="Times New Roman" w:eastAsia="Times New Roman" w:hAnsi="Times New Roman"/>
                <w:sz w:val="11"/>
                <w:szCs w:val="11"/>
                <w:color w:val="auto"/>
              </w:rPr>
              <w:t>(1)</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4,434</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80" w:type="dxa"/>
            <w:vAlign w:val="bottom"/>
            <w:tcBorders>
              <w:bottom w:val="single" w:sz="8" w:color="CCEEFF"/>
            </w:tcBorders>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color w:val="auto"/>
              </w:rPr>
              <w:t>Weighted average shares and OP units outstanding - diluted</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68,058</w:t>
            </w:r>
          </w:p>
        </w:tc>
        <w:tc>
          <w:tcPr>
            <w:tcW w:w="1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64,208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7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Adjusted FFO available to common stockholders and unit holders per basic share/unit</w:t>
            </w:r>
          </w:p>
        </w:tc>
        <w:tc>
          <w:tcPr>
            <w:tcW w:w="280" w:type="dxa"/>
            <w:vAlign w:val="bottom"/>
            <w:gridSpan w:val="2"/>
            <w:shd w:val="clear" w:color="auto" w:fill="CCEEFF"/>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480" w:type="dxa"/>
            <w:vAlign w:val="bottom"/>
            <w:gridSpan w:val="2"/>
            <w:shd w:val="clear" w:color="auto" w:fill="CCEEFF"/>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Adjusted FFO available to common stockholders and unit holders per diluted share/unit </w:t>
            </w:r>
            <w:r>
              <w:rPr>
                <w:rFonts w:ascii="Times New Roman" w:cs="Times New Roman" w:eastAsia="Times New Roman" w:hAnsi="Times New Roman"/>
                <w:sz w:val="11"/>
                <w:szCs w:val="11"/>
                <w:color w:val="auto"/>
              </w:rPr>
              <w:t>(1)</w:t>
            </w:r>
          </w:p>
        </w:tc>
        <w:tc>
          <w:tcPr>
            <w:tcW w:w="28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48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1568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0" w:lineRule="exact"/>
        <w:rPr>
          <w:sz w:val="20"/>
          <w:szCs w:val="20"/>
          <w:color w:val="auto"/>
        </w:rPr>
      </w:pPr>
    </w:p>
    <w:p>
      <w:pPr>
        <w:jc w:val="both"/>
        <w:ind w:left="340" w:hanging="332"/>
        <w:spacing w:after="0"/>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weighted average common shares for the three months ended March 31, 2026 and 2025 include equivalent shares related to the currently unexercisable investor put rights associated with the noncontrolling interest in the Company’s OEG business, which may be settled in cash or shares at the Company’s option. Basic and diluted weighted average common shares for the three months ended March 31, 2026 include the impact of approximately 3.0 million additional shares issued on May 21, 2025.</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Forward-Looking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Adjusted Earnings Before Interest, Taxes, Depreciation and Amortization for Real Estate (“Adjusted EBITDA</w:t>
      </w:r>
      <w:r>
        <w:rPr>
          <w:rFonts w:ascii="Times New Roman" w:cs="Times New Roman" w:eastAsia="Times New Roman" w:hAnsi="Times New Roman"/>
          <w:sz w:val="17"/>
          <w:szCs w:val="17"/>
          <w:b w:val="1"/>
          <w:bCs w:val="1"/>
          <w:i w:val="1"/>
          <w:iCs w:val="1"/>
          <w:color w:val="auto"/>
        </w:rPr>
        <w:t>re</w:t>
      </w:r>
      <w:r>
        <w:rPr>
          <w:rFonts w:ascii="Times New Roman" w:cs="Times New Roman" w:eastAsia="Times New Roman" w:hAnsi="Times New Roman"/>
          <w:sz w:val="17"/>
          <w:szCs w:val="17"/>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Guidance Range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For Full Year 2026</w:t>
            </w:r>
            <w:r>
              <w:rPr>
                <w:rFonts w:ascii="Times New Roman" w:cs="Times New Roman" w:eastAsia="Times New Roman" w:hAnsi="Times New Roman"/>
                <w:sz w:val="10"/>
                <w:szCs w:val="10"/>
                <w:b w:val="1"/>
                <w:bCs w:val="1"/>
                <w:color w:val="auto"/>
              </w:rPr>
              <w:t>(1)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Midpoint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8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271,000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279,000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246,750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302,500</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16"/>
                <w:szCs w:val="16"/>
                <w:b w:val="1"/>
                <w:bCs w:val="1"/>
                <w:i w:val="1"/>
                <w:iCs w:val="1"/>
                <w:color w:val="auto"/>
              </w:rPr>
              <w:t>re</w:t>
            </w:r>
          </w:p>
        </w:tc>
        <w:tc>
          <w:tcPr>
            <w:tcW w:w="180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831,750</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862,500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847,125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Preopening costs</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Pension settlement charge</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on Gaylord National bonds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864,000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902,000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Hospitality segment: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509,000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520,500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514,750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on Gaylord National bonds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783,000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807,000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795,000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b w:val="1"/>
                <w:bCs w:val="1"/>
                <w:color w:val="auto"/>
              </w:rPr>
              <w:t>Hospitality segment (same-store)</w:t>
            </w:r>
            <w:r>
              <w:rPr>
                <w:rFonts w:ascii="Times New Roman" w:cs="Times New Roman" w:eastAsia="Times New Roman" w:hAnsi="Times New Roman"/>
                <w:sz w:val="23"/>
                <w:szCs w:val="23"/>
                <w:b w:val="1"/>
                <w:bCs w:val="1"/>
                <w:color w:val="auto"/>
                <w:vertAlign w:val="superscript"/>
              </w:rPr>
              <w:t>(2)</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475,500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485,500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480,500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on Gaylord National bonds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715,000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735,000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JW Marriott Desert Ridge</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33,500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35,000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68,000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72,000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Entertainment segment: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74,750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79,500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revenue</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Preopening costs</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120,000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130,000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 and Other segment:</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0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(50,500)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(49,000)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Pension settlement charge</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1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(39,000)</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(35,000)</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JW Marriott Desert Ridge, except as otherwise noted. Amounts are calculated based on unrounded numbers.</w:t>
      </w:r>
    </w:p>
    <w:p>
      <w:pPr>
        <w:spacing w:after="0" w:line="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Hospitality excludes JW Marriott Desert Ridge, which was acquired June 10, 2025.</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Forward-Looking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Funds From Operations (“FFO”) and Adjusted FFO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Range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3"/>
        </w:trPr>
        <w:tc>
          <w:tcPr>
            <w:tcW w:w="6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7"/>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For Full Year 2026</w:t>
            </w:r>
            <w:r>
              <w:rPr>
                <w:rFonts w:ascii="Times New Roman" w:cs="Times New Roman" w:eastAsia="Times New Roman" w:hAnsi="Times New Roman"/>
                <w:sz w:val="10"/>
                <w:szCs w:val="10"/>
                <w:b w:val="1"/>
                <w:bCs w:val="1"/>
                <w:color w:val="auto"/>
              </w:rPr>
              <w:t>(1)</w:t>
            </w:r>
          </w:p>
        </w:tc>
        <w:tc>
          <w:tcPr>
            <w:tcW w:w="780" w:type="dxa"/>
            <w:vAlign w:val="bottom"/>
            <w:tcBorders>
              <w:bottom w:val="single" w:sz="8" w:color="auto"/>
            </w:tcBorders>
          </w:tcPr>
          <w:p>
            <w:pPr>
              <w:spacing w:after="0"/>
              <w:rPr>
                <w:sz w:val="15"/>
                <w:szCs w:val="15"/>
                <w:color w:val="auto"/>
              </w:rPr>
            </w:pPr>
          </w:p>
        </w:tc>
      </w:tr>
      <w:tr>
        <w:trPr>
          <w:trHeight w:val="196"/>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Midpoint</w:t>
            </w:r>
          </w:p>
        </w:tc>
      </w:tr>
      <w:tr>
        <w:trPr>
          <w:trHeight w:val="196"/>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03"/>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available to common stockholders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261,000</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267,000</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264,000</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 in OP units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196"/>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available to common stockholders and unit holders</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262,000</w:t>
            </w:r>
          </w:p>
        </w:tc>
        <w:tc>
          <w:tcPr>
            <w:tcW w:w="12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269,000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265,500</w:t>
            </w:r>
          </w:p>
        </w:tc>
      </w:tr>
      <w:tr>
        <w:trPr>
          <w:trHeight w:val="23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308,750</w:t>
            </w:r>
          </w:p>
        </w:tc>
      </w:tr>
      <w:tr>
        <w:trPr>
          <w:trHeight w:val="229"/>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Adjustments for noncontrolling interest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FFO available to common stockholders and unit holders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552,000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572,500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562,250</w:t>
            </w:r>
          </w:p>
        </w:tc>
      </w:tr>
      <w:tr>
        <w:trPr>
          <w:trHeight w:val="228"/>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 amortization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31"/>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r>
      <w:tr>
        <w:trPr>
          <w:trHeight w:val="23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28"/>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Adjustments for noncontrolling interest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r>
      <w:tr>
        <w:trPr>
          <w:trHeight w:val="231"/>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13,250</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debt discounts and premiums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29"/>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tax provision</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r>
      <w:tr>
        <w:trPr>
          <w:trHeight w:val="236"/>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Adjusted FFO available to common stockholders and unit holders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577,250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607,000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592,125</w:t>
            </w:r>
          </w:p>
        </w:tc>
      </w:tr>
      <w:tr>
        <w:trPr>
          <w:trHeight w:val="210"/>
        </w:trPr>
        <w:tc>
          <w:tcPr>
            <w:tcW w:w="6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800" w:type="dxa"/>
            <w:vAlign w:val="bottom"/>
          </w:tcPr>
          <w:p>
            <w:pPr>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Net income available to common stockholders per diluted share </w:t>
            </w:r>
            <w:r>
              <w:rPr>
                <w:rFonts w:ascii="Times New Roman" w:cs="Times New Roman" w:eastAsia="Times New Roman" w:hAnsi="Times New Roman"/>
                <w:sz w:val="25"/>
                <w:szCs w:val="25"/>
                <w:b w:val="1"/>
                <w:bCs w:val="1"/>
                <w:color w:val="auto"/>
                <w:vertAlign w:val="superscript"/>
              </w:rPr>
              <w:t>(2)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3.96</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3.99</w:t>
            </w:r>
          </w:p>
        </w:tc>
      </w:tr>
      <w:tr>
        <w:trPr>
          <w:trHeight w:val="229"/>
        </w:trPr>
        <w:tc>
          <w:tcPr>
            <w:tcW w:w="68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Adjusted FFO available to common stockholders and unit holders per diluted share/unit </w:t>
            </w:r>
            <w:r>
              <w:rPr>
                <w:rFonts w:ascii="Times New Roman" w:cs="Times New Roman" w:eastAsia="Times New Roman" w:hAnsi="Times New Roman"/>
                <w:sz w:val="25"/>
                <w:szCs w:val="25"/>
                <w:b w:val="1"/>
                <w:bCs w:val="1"/>
                <w:color w:val="auto"/>
                <w:vertAlign w:val="superscript"/>
              </w:rPr>
              <w:t>(2)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8.77</w:t>
            </w:r>
          </w:p>
        </w:tc>
        <w:tc>
          <w:tcPr>
            <w:tcW w:w="3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8.96</w:t>
            </w:r>
          </w:p>
        </w:tc>
      </w:tr>
      <w:tr>
        <w:trPr>
          <w:trHeight w:val="230"/>
        </w:trPr>
        <w:tc>
          <w:tcPr>
            <w:tcW w:w="6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Estimated weighted average shares outstanding - diluted (in millions) </w:t>
            </w:r>
            <w:r>
              <w:rPr>
                <w:rFonts w:ascii="Times New Roman" w:cs="Times New Roman" w:eastAsia="Times New Roman" w:hAnsi="Times New Roman"/>
                <w:sz w:val="25"/>
                <w:szCs w:val="25"/>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r>
        <w:trPr>
          <w:trHeight w:val="344"/>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Estimated weighted average shares and OP units outstanding - diluted (in millions) </w:t>
            </w:r>
            <w:r>
              <w:rPr>
                <w:rFonts w:ascii="Times New Roman" w:cs="Times New Roman" w:eastAsia="Times New Roman" w:hAnsi="Times New Roman"/>
                <w:sz w:val="25"/>
                <w:szCs w:val="25"/>
                <w:b w:val="1"/>
                <w:bCs w:val="1"/>
                <w:color w:val="auto"/>
                <w:vertAlign w:val="superscript"/>
              </w:rPr>
              <w:t>(2)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15684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2"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JW Marriott Desert Ridge, except as otherwise noted. Amounts are calculated based on unrounded numbers.</w:t>
      </w:r>
    </w:p>
    <w:p>
      <w:pPr>
        <w:spacing w:after="0" w:line="3" w:lineRule="exact"/>
        <w:rPr>
          <w:rFonts w:ascii="Times New Roman" w:cs="Times New Roman" w:eastAsia="Times New Roman" w:hAnsi="Times New Roman"/>
          <w:sz w:val="14"/>
          <w:szCs w:val="14"/>
          <w:color w:val="auto"/>
        </w:rPr>
      </w:pPr>
    </w:p>
    <w:p>
      <w:pPr>
        <w:jc w:val="both"/>
        <w:ind w:left="340" w:hanging="332"/>
        <w:spacing w:after="0" w:line="233" w:lineRule="auto"/>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weighted average common shares for the three months ended March 31, 2026 include the impact of approximately 3.0 million additional shares issued on May 21, 2025. Includes equivalent shares related to the currently unexercisable investor put rights associated with the noncontrolling interest in the Company’s OEG business, which may be settled in cash or shares at the Company’s option.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Forward-Looking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Earnings Per Share and Adjusted FFO Per Share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Guidance Range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8"/>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For Full Year 2026</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Midpoint</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Earnings per share:</w:t>
            </w:r>
          </w:p>
        </w:tc>
        <w:tc>
          <w:tcPr>
            <w:tcW w:w="54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267,000</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attributable to noncontrolling interest in OEG</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available to common stockholders - if-converted method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ind w:left="100"/>
              <w:spacing w:after="0" w:line="229" w:lineRule="exact"/>
              <w:rPr>
                <w:sz w:val="20"/>
                <w:szCs w:val="20"/>
                <w:color w:val="auto"/>
              </w:rPr>
            </w:pPr>
            <w:r>
              <w:rPr>
                <w:rFonts w:ascii="Times New Roman" w:cs="Times New Roman" w:eastAsia="Times New Roman" w:hAnsi="Times New Roman"/>
                <w:sz w:val="17"/>
                <w:szCs w:val="17"/>
                <w:color w:val="auto"/>
              </w:rPr>
              <w:t xml:space="preserve">Estimated weighted average shares outstanding - diluted (in millions)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 available to common stockholders</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4.02</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Adjusted FFO per share:</w:t>
            </w:r>
          </w:p>
        </w:tc>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Adjusted FFO available to common stockholders and unit holders</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607,000</w:t>
            </w: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Net income attributable to noncontrolling interest in OEG</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FFO adjustments for noncontrolling interest in OEG</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Adjusted FFO Adjustments for noncontrolling interest in OEG</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Adjusted FFO available to common stockholders and unit holders - if-converted method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603,250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616,125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tcPr>
          <w:p>
            <w:pPr>
              <w:ind w:left="100"/>
              <w:spacing w:after="0" w:line="229" w:lineRule="exact"/>
              <w:rPr>
                <w:sz w:val="20"/>
                <w:szCs w:val="20"/>
                <w:color w:val="auto"/>
              </w:rPr>
            </w:pPr>
            <w:r>
              <w:rPr>
                <w:rFonts w:ascii="Times New Roman" w:cs="Times New Roman" w:eastAsia="Times New Roman" w:hAnsi="Times New Roman"/>
                <w:sz w:val="17"/>
                <w:szCs w:val="17"/>
                <w:color w:val="auto"/>
              </w:rPr>
              <w:t xml:space="preserve">Estimated weighted average shares and OP units outstanding - diluted (in millions)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FFO available to common stockholders and unit holders per diluted share/unit</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9.14</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1568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jc w:val="both"/>
        <w:ind w:left="340" w:hanging="332"/>
        <w:spacing w:after="0" w:line="241" w:lineRule="auto"/>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and diluted weighted average common shares for the three months ended March 31, 2026 include the impact of approximately 3.0 million additional shares issued on May 21, 2025. Includes equivalent shares related to the currently unexercisable investor put rights associated with the noncontrolling interest in the Company’s OEG business, which may be settled in cash or shares at the Company’s option.</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Forward-Looking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Adjusted Earnings Before Interest, Taxes, Depreciation and Amortization for Real Estate (“Adjusted EBITDA</w:t>
      </w:r>
      <w:r>
        <w:rPr>
          <w:rFonts w:ascii="Times New Roman" w:cs="Times New Roman" w:eastAsia="Times New Roman" w:hAnsi="Times New Roman"/>
          <w:sz w:val="17"/>
          <w:szCs w:val="17"/>
          <w:b w:val="1"/>
          <w:bCs w:val="1"/>
          <w:i w:val="1"/>
          <w:iCs w:val="1"/>
          <w:color w:val="auto"/>
        </w:rPr>
        <w:t>re</w:t>
      </w:r>
      <w:r>
        <w:rPr>
          <w:rFonts w:ascii="Times New Roman" w:cs="Times New Roman" w:eastAsia="Times New Roman" w:hAnsi="Times New Roman"/>
          <w:sz w:val="17"/>
          <w:szCs w:val="17"/>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6"/>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Prior Guidance Range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For Full Year 2026</w:t>
            </w:r>
            <w:r>
              <w:rPr>
                <w:rFonts w:ascii="Times New Roman" w:cs="Times New Roman" w:eastAsia="Times New Roman" w:hAnsi="Times New Roman"/>
                <w:sz w:val="10"/>
                <w:szCs w:val="10"/>
                <w:b w:val="1"/>
                <w:bCs w:val="1"/>
                <w:color w:val="auto"/>
              </w:rPr>
              <w:t>(1)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Midpoint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260,000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273,000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266,500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296,500</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312,000</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EBITDA</w:t>
            </w:r>
            <w:r>
              <w:rPr>
                <w:rFonts w:ascii="Times New Roman" w:cs="Times New Roman" w:eastAsia="Times New Roman" w:hAnsi="Times New Roman"/>
                <w:sz w:val="16"/>
                <w:szCs w:val="16"/>
                <w:b w:val="1"/>
                <w:bCs w:val="1"/>
                <w:i w:val="1"/>
                <w:iCs w:val="1"/>
                <w:color w:val="auto"/>
              </w:rPr>
              <w:t>re</w:t>
            </w:r>
          </w:p>
        </w:tc>
        <w:tc>
          <w:tcPr>
            <w:tcW w:w="188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813,750</w:t>
            </w:r>
          </w:p>
        </w:tc>
        <w:tc>
          <w:tcPr>
            <w:tcW w:w="14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855,500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834,625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Preopening costs</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Pension settlement charge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on Gaylord National bonds</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846,000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895,000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870,500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Hospitality segment:</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497,000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516,500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506,750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on Gaylord National bonds</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765,000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800,000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b w:val="1"/>
                <w:bCs w:val="1"/>
                <w:color w:val="auto"/>
              </w:rPr>
              <w:t>Hospitality segment (same-store)</w:t>
            </w:r>
            <w:r>
              <w:rPr>
                <w:rFonts w:ascii="Times New Roman" w:cs="Times New Roman" w:eastAsia="Times New Roman" w:hAnsi="Times New Roman"/>
                <w:sz w:val="23"/>
                <w:szCs w:val="23"/>
                <w:b w:val="1"/>
                <w:bCs w:val="1"/>
                <w:color w:val="auto"/>
                <w:vertAlign w:val="superscript"/>
              </w:rPr>
              <w:t>(2)</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466,500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483,500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 on Gaylord National bonds</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730,000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JW Marriott Desert Ridge</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30,500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Entertainment segment:</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74,750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revenue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Preopening costs</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 and Other segment:</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0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(50,500)</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Pension settlement charge</w:t>
            </w: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gains and (losses), net</w:t>
            </w:r>
          </w:p>
        </w:tc>
        <w:tc>
          <w:tcPr>
            <w:tcW w:w="18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16"/>
                <w:szCs w:val="16"/>
                <w:b w:val="1"/>
                <w:bCs w:val="1"/>
                <w:i w:val="1"/>
                <w:iCs w:val="1"/>
                <w:color w:val="auto"/>
              </w:rPr>
              <w:t>re</w:t>
            </w:r>
          </w:p>
        </w:tc>
        <w:tc>
          <w:tcPr>
            <w:tcW w:w="1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JW Marriott Desert Ridge, except as otherwise noted. Amounts are calculated based on unrounded numbers.</w:t>
      </w:r>
    </w:p>
    <w:p>
      <w:pPr>
        <w:spacing w:after="0" w:line="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Same-store Hospitality excludes JW Marriott Desert Ridge, which was acquired June 10, 2025.</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Forward-Looking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Funds From Operations (“FFO”) and Adjusted FFO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Prior Guidance Range</w:t>
            </w:r>
          </w:p>
        </w:tc>
        <w:tc>
          <w:tcPr>
            <w:tcW w:w="760" w:type="dxa"/>
            <w:vAlign w:val="bottom"/>
          </w:tcPr>
          <w:p>
            <w:pPr>
              <w:spacing w:after="0"/>
              <w:rPr>
                <w:sz w:val="13"/>
                <w:szCs w:val="13"/>
                <w:color w:val="auto"/>
              </w:rPr>
            </w:pPr>
          </w:p>
        </w:tc>
      </w:tr>
      <w:tr>
        <w:trPr>
          <w:trHeight w:val="173"/>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Full Year 2026</w:t>
            </w:r>
            <w:r>
              <w:rPr>
                <w:rFonts w:ascii="Times New Roman" w:cs="Times New Roman" w:eastAsia="Times New Roman" w:hAnsi="Times New Roman"/>
                <w:sz w:val="10"/>
                <w:szCs w:val="10"/>
                <w:b w:val="1"/>
                <w:bCs w:val="1"/>
                <w:color w:val="auto"/>
              </w:rPr>
              <w:t>(1)</w:t>
            </w:r>
          </w:p>
        </w:tc>
        <w:tc>
          <w:tcPr>
            <w:tcW w:w="760" w:type="dxa"/>
            <w:vAlign w:val="bottom"/>
            <w:tcBorders>
              <w:bottom w:val="single" w:sz="8" w:color="auto"/>
            </w:tcBorders>
          </w:tcPr>
          <w:p>
            <w:pPr>
              <w:spacing w:after="0"/>
              <w:rPr>
                <w:sz w:val="15"/>
                <w:szCs w:val="15"/>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Midpoint</w:t>
            </w:r>
          </w:p>
        </w:tc>
      </w:tr>
      <w:tr>
        <w:trPr>
          <w:trHeight w:val="19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available to common stockholders</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250,000</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261,000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255,500</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 in OP units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r>
      <w:tr>
        <w:trPr>
          <w:trHeight w:val="196"/>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 available to common stockholders and unit holders</w:t>
            </w:r>
          </w:p>
        </w:tc>
        <w:tc>
          <w:tcPr>
            <w:tcW w:w="18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251,000</w:t>
            </w:r>
          </w:p>
        </w:tc>
        <w:tc>
          <w:tcPr>
            <w:tcW w:w="12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263,000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257,000</w:t>
            </w:r>
          </w:p>
        </w:tc>
      </w:tr>
      <w:tr>
        <w:trPr>
          <w:trHeight w:val="23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304,250</w:t>
            </w:r>
          </w:p>
        </w:tc>
      </w:tr>
      <w:tr>
        <w:trPr>
          <w:trHeight w:val="229"/>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Adjustments for noncontrolling interest</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w:t>
            </w: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FFO available to common stockholders and unit holders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563,500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549,250</w:t>
            </w:r>
          </w:p>
        </w:tc>
      </w:tr>
      <w:tr>
        <w:trPr>
          <w:trHeight w:val="228"/>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 amortization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3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w:t>
            </w:r>
          </w:p>
        </w:tc>
      </w:tr>
      <w:tr>
        <w:trPr>
          <w:trHeight w:val="228"/>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Pension settlement charge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r>
      <w:tr>
        <w:trPr>
          <w:trHeight w:val="231"/>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28"/>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Adjustments for noncontrolling interest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r>
      <w:tr>
        <w:trPr>
          <w:trHeight w:val="231"/>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13,250</w:t>
            </w:r>
          </w:p>
        </w:tc>
      </w:tr>
      <w:tr>
        <w:trPr>
          <w:trHeight w:val="229"/>
        </w:trPr>
        <w:tc>
          <w:tcPr>
            <w:tcW w:w="6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debt discounts and premiums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0"/>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tax provision</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236"/>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Adjusted FFO available to common stockholders and unit holders</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559,250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597,000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578,125</w:t>
            </w:r>
          </w:p>
        </w:tc>
      </w:tr>
      <w:tr>
        <w:trPr>
          <w:trHeight w:val="210"/>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800" w:type="dxa"/>
            <w:vAlign w:val="bottom"/>
          </w:tcPr>
          <w:p>
            <w:pPr>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Net income available to common stockholders per diluted share </w:t>
            </w:r>
            <w:r>
              <w:rPr>
                <w:rFonts w:ascii="Times New Roman" w:cs="Times New Roman" w:eastAsia="Times New Roman" w:hAnsi="Times New Roman"/>
                <w:sz w:val="25"/>
                <w:szCs w:val="25"/>
                <w:b w:val="1"/>
                <w:bCs w:val="1"/>
                <w:color w:val="auto"/>
                <w:vertAlign w:val="superscript"/>
              </w:rPr>
              <w:t>(2)</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3.80</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3.87</w:t>
            </w:r>
          </w:p>
        </w:tc>
      </w:tr>
      <w:tr>
        <w:trPr>
          <w:trHeight w:val="229"/>
        </w:trPr>
        <w:tc>
          <w:tcPr>
            <w:tcW w:w="68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Adjusted FFO available to common stockholders and unit holders per diluted share/unit </w:t>
            </w:r>
            <w:r>
              <w:rPr>
                <w:rFonts w:ascii="Times New Roman" w:cs="Times New Roman" w:eastAsia="Times New Roman" w:hAnsi="Times New Roman"/>
                <w:sz w:val="25"/>
                <w:szCs w:val="25"/>
                <w:b w:val="1"/>
                <w:bCs w:val="1"/>
                <w:color w:val="auto"/>
                <w:vertAlign w:val="superscript"/>
              </w:rPr>
              <w:t>(2)</w:t>
            </w: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c>
          <w:tcPr>
            <w:tcW w:w="3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8.75</w:t>
            </w:r>
          </w:p>
        </w:tc>
      </w:tr>
      <w:tr>
        <w:trPr>
          <w:trHeight w:val="230"/>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8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Estimated weighted average shares outstanding - diluted (in millions) </w:t>
            </w:r>
            <w:r>
              <w:rPr>
                <w:rFonts w:ascii="Times New Roman" w:cs="Times New Roman" w:eastAsia="Times New Roman" w:hAnsi="Times New Roman"/>
                <w:sz w:val="25"/>
                <w:szCs w:val="25"/>
                <w:b w:val="1"/>
                <w:bCs w:val="1"/>
                <w:color w:val="auto"/>
                <w:vertAlign w:val="superscript"/>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r>
        <w:trPr>
          <w:trHeight w:val="344"/>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Estimated weighted average shares and OP units outstanding - diluted (in millions) </w:t>
            </w:r>
            <w:r>
              <w:rPr>
                <w:rFonts w:ascii="Times New Roman" w:cs="Times New Roman" w:eastAsia="Times New Roman" w:hAnsi="Times New Roman"/>
                <w:sz w:val="25"/>
                <w:szCs w:val="25"/>
                <w:b w:val="1"/>
                <w:bCs w:val="1"/>
                <w:color w:val="auto"/>
                <w:vertAlign w:val="superscript"/>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1568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JW Marriott Desert Ridge, except as otherwise noted. Amounts are calculated based on unrounded numbers.</w:t>
      </w:r>
    </w:p>
    <w:p>
      <w:pPr>
        <w:spacing w:after="0" w:line="3" w:lineRule="exact"/>
        <w:rPr>
          <w:rFonts w:ascii="Times New Roman" w:cs="Times New Roman" w:eastAsia="Times New Roman" w:hAnsi="Times New Roman"/>
          <w:sz w:val="14"/>
          <w:szCs w:val="14"/>
          <w:color w:val="auto"/>
        </w:rPr>
      </w:pPr>
    </w:p>
    <w:p>
      <w:pPr>
        <w:ind w:left="340" w:right="20" w:hanging="332"/>
        <w:spacing w:after="0" w:line="239"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equivalent shares related to the currently unexercisable investor put rights associated with the noncontrolling interest in the Company’s OEG business, which may be settled in cash or shares at the Company’s option.</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Ryman Hospitality Properties,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Forward-Looking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Earnings Per Share and Adjusted FFO Per Share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7"/>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Prior Guidance Range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Full Year 2026</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50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Low</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Midpoint</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Earnings per share:</w:t>
            </w:r>
          </w:p>
        </w:tc>
        <w:tc>
          <w:tcPr>
            <w:tcW w:w="542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attributable to noncontrolling interest in OEG</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 available to common stockholders - if-converted method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3"/>
          </w:tcPr>
          <w:p>
            <w:pPr>
              <w:ind w:left="100"/>
              <w:spacing w:after="0" w:line="229" w:lineRule="exact"/>
              <w:rPr>
                <w:sz w:val="20"/>
                <w:szCs w:val="20"/>
                <w:color w:val="auto"/>
              </w:rPr>
            </w:pPr>
            <w:r>
              <w:rPr>
                <w:rFonts w:ascii="Times New Roman" w:cs="Times New Roman" w:eastAsia="Times New Roman" w:hAnsi="Times New Roman"/>
                <w:sz w:val="17"/>
                <w:szCs w:val="17"/>
                <w:color w:val="auto"/>
              </w:rPr>
              <w:t xml:space="preserve">Estimated weighted average shares outstanding - diluted (in millions)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 available to common stockholders</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Adjusted FFO per share:</w:t>
            </w:r>
          </w:p>
        </w:tc>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Adjusted FFO available to common stockholders and unit holders</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559,250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Net income attributable to noncontrolling interest in OEG</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FFO adjustments for noncontrolling interest in OEG</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Adjusted FFO Adjustments for noncontrolling interest in OEG</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Adjusted FFO available to common stockholders and unit holders - if-converted method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602,125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gridSpan w:val="3"/>
          </w:tcPr>
          <w:p>
            <w:pPr>
              <w:ind w:left="100"/>
              <w:spacing w:after="0" w:line="229" w:lineRule="exact"/>
              <w:rPr>
                <w:sz w:val="20"/>
                <w:szCs w:val="20"/>
                <w:color w:val="auto"/>
              </w:rPr>
            </w:pPr>
            <w:r>
              <w:rPr>
                <w:rFonts w:ascii="Times New Roman" w:cs="Times New Roman" w:eastAsia="Times New Roman" w:hAnsi="Times New Roman"/>
                <w:sz w:val="17"/>
                <w:szCs w:val="17"/>
                <w:color w:val="auto"/>
              </w:rPr>
              <w:t xml:space="preserve">Estimated weighted average shares and OP units outstanding - diluted (in millions)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FFO available to common stockholders and unit holders per diluted share/unit</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71755</wp:posOffset>
            </wp:positionV>
            <wp:extent cx="1568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40" w:right="20" w:hanging="332"/>
        <w:spacing w:after="0" w:line="261"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equivalent shares related to the currently unexercisable investor put rights associated with the noncontrolling interest in the Company’s OEG business, which may be settled in cash or shares at the Company’s option.</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615"/>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2026-05-01T11:04:12Z</dcterms:created>
  <dcterms:modified xsi:type="dcterms:W3CDTF">2026-05-01T11:04:12Z</dcterms:modified>
</cp:coreProperties>
</file>