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uto" w:line="307" w:before="0" w:after="160"/>
        <w:ind w:left="0" w:right="0" w:hanging="0"/>
        <w:jc w:val="left"/>
        <w:rPr/>
      </w:pPr>
      <w:bookmarkStart w:id="0" w:name="tmb-20260806x8k.htm"/>
      <w:bookmarkStart w:id="1" w:name="kstmb20260806x8k"/>
      <w:bookmarkEnd w:id="0"/>
      <w:bookmarkEnd w:id="1"/>
      <w:r>
        <w:rPr/>
        <w:t>​</w:t>
      </w:r>
    </w:p>
    <w:p>
      <w:pPr>
        <w:pStyle w:val="TextBody"/>
        <w:bidi w:val="0"/>
        <w:spacing w:lineRule="auto" w:line="307" w:before="88" w:after="0"/>
        <w:ind w:left="0" w:right="0" w:hanging="0"/>
        <w:jc w:val="center"/>
        <w:rPr>
          <w:rFonts w:ascii="Times New Roman;Times;serif" w:hAnsi="Times New Roman;Times;serif"/>
          <w:b/>
          <w:sz w:val="32"/>
        </w:rPr>
      </w:pPr>
      <w:bookmarkStart w:id="2" w:name="_390c9d5f_9d02_420c_8370_a26b2e8de541"/>
      <w:bookmarkEnd w:id="2"/>
      <w:r>
        <w:rPr>
          <w:rFonts w:ascii="Times New Roman;Times;serif" w:hAnsi="Times New Roman;Times;serif"/>
          <w:b/>
          <w:sz w:val="32"/>
        </w:rPr>
        <w:t>UNITED STATES</w:t>
      </w:r>
    </w:p>
    <w:p>
      <w:pPr>
        <w:pStyle w:val="TextBody"/>
        <w:bidi w:val="0"/>
        <w:spacing w:lineRule="auto" w:line="307"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307"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pBdr>
          <w:bottom w:val="single" w:sz="2" w:space="1" w:color="000000"/>
        </w:pBdr>
        <w:bidi w:val="0"/>
        <w:spacing w:lineRule="auto" w:line="307" w:before="0" w:after="0"/>
        <w:ind w:left="0" w:right="0" w:hanging="0"/>
        <w:jc w:val="center"/>
        <w:rPr/>
      </w:pPr>
      <w:r>
        <w:rPr/>
        <w:t> </w:t>
      </w:r>
    </w:p>
    <w:p>
      <w:pPr>
        <w:pStyle w:val="TextBody"/>
        <w:bidi w:val="0"/>
        <w:spacing w:lineRule="auto" w:line="307" w:before="264"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pBdr>
          <w:bottom w:val="single" w:sz="2" w:space="1" w:color="000000"/>
        </w:pBdr>
        <w:bidi w:val="0"/>
        <w:spacing w:lineRule="auto" w:line="307" w:before="0" w:after="0"/>
        <w:ind w:left="0" w:right="0" w:hanging="0"/>
        <w:jc w:val="center"/>
        <w:rPr/>
      </w:pPr>
      <w:r>
        <w:rPr/>
        <w:t> </w:t>
      </w:r>
    </w:p>
    <w:p>
      <w:pPr>
        <w:pStyle w:val="TextBody"/>
        <w:bidi w:val="0"/>
        <w:spacing w:lineRule="auto" w:line="307" w:before="264"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lineRule="auto" w:line="307" w:before="264"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6, 2026</w:t>
      </w:r>
    </w:p>
    <w:p>
      <w:pPr>
        <w:pStyle w:val="TextBody"/>
        <w:pBdr>
          <w:bottom w:val="single" w:sz="2" w:space="1" w:color="000000"/>
        </w:pBdr>
        <w:bidi w:val="0"/>
        <w:spacing w:lineRule="auto" w:line="307" w:before="0" w:after="160"/>
        <w:ind w:left="0" w:right="0" w:hanging="0"/>
        <w:jc w:val="center"/>
        <w:rPr/>
      </w:pPr>
      <w:r>
        <w:rPr/>
        <w:t>​</w:t>
      </w:r>
    </w:p>
    <w:p>
      <w:pPr>
        <w:pStyle w:val="TextBody"/>
        <w:bidi w:val="0"/>
        <w:spacing w:lineRule="auto" w:line="307" w:before="264" w:after="0"/>
        <w:ind w:left="0" w:right="0" w:hanging="0"/>
        <w:jc w:val="center"/>
        <w:rPr>
          <w:rFonts w:ascii="Times New Roman;Times;serif" w:hAnsi="Times New Roman;Times;serif"/>
          <w:b/>
          <w:sz w:val="44"/>
        </w:rPr>
      </w:pPr>
      <w:r>
        <w:rPr>
          <w:rFonts w:ascii="Times New Roman;Times;serif" w:hAnsi="Times New Roman;Times;serif"/>
          <w:b/>
          <w:sz w:val="44"/>
        </w:rPr>
        <w:t>RYMAN HOSPITALITY PROPERTIES, INC.</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pBdr>
          <w:bottom w:val="single" w:sz="2" w:space="1" w:color="000000"/>
        </w:pBdr>
        <w:bidi w:val="0"/>
        <w:spacing w:lineRule="auto" w:line="307" w:before="0" w:after="0"/>
        <w:ind w:left="0" w:right="0" w:hanging="0"/>
        <w:jc w:val="center"/>
        <w:rPr/>
      </w:pPr>
      <w:r>
        <w:rPr/>
        <w:t> </w:t>
      </w:r>
    </w:p>
    <w:p>
      <w:pPr>
        <w:pStyle w:val="TextBody"/>
        <w:bidi w:val="0"/>
        <w:spacing w:lineRule="auto" w:line="307"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3" w:name="Tc_KJjz7xjZ_U2F4G8CL7ybTQ_2_4"/>
      <w:bookmarkStart w:id="4" w:name="Tc_k0rCmBsg70GMMD2IO0nJHg_2_2"/>
      <w:bookmarkStart w:id="5" w:name="Tc_PGwLnL90G0eH6JJVA_Np3w_2_0"/>
      <w:bookmarkStart w:id="6" w:name="_c9e347f8_8461_4f5a_9abf_6952f2759f34"/>
      <w:bookmarkStart w:id="7" w:name="Tc_KJjz7xjZ_U2F4G8CL7ybTQ_2_4"/>
      <w:bookmarkStart w:id="8" w:name="Tc_k0rCmBsg70GMMD2IO0nJHg_2_2"/>
      <w:bookmarkStart w:id="9" w:name="Tc_PGwLnL90G0eH6JJVA_Np3w_2_0"/>
      <w:bookmarkStart w:id="10" w:name="_c9e347f8_8461_4f5a_9abf_6952f2759f34"/>
      <w:bookmarkEnd w:id="7"/>
      <w:bookmarkEnd w:id="8"/>
      <w:bookmarkEnd w:id="9"/>
      <w:bookmarkEnd w:id="10"/>
    </w:p>
    <w:tbl>
      <w:tblPr>
        <w:tblW w:w="5486" w:type="dxa"/>
        <w:jc w:val="left"/>
        <w:tblInd w:w="0" w:type="dxa"/>
        <w:tblLayout w:type="fixed"/>
        <w:tblCellMar>
          <w:top w:w="0" w:type="dxa"/>
          <w:left w:w="0" w:type="dxa"/>
          <w:bottom w:w="0" w:type="dxa"/>
          <w:right w:w="0" w:type="dxa"/>
        </w:tblCellMar>
      </w:tblPr>
      <w:tblGrid>
        <w:gridCol w:w="2356"/>
        <w:gridCol w:w="109"/>
        <w:gridCol w:w="1231"/>
        <w:gridCol w:w="109"/>
        <w:gridCol w:w="1681"/>
      </w:tblGrid>
      <w:tr>
        <w:trPr/>
        <w:tc>
          <w:tcPr>
            <w:tcW w:w="23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681" w:type="dxa"/>
            <w:tcBorders/>
            <w:vAlign w:val="center"/>
          </w:tcPr>
          <w:p>
            <w:pPr>
              <w:pStyle w:val="TableContents"/>
              <w:bidi w:val="0"/>
              <w:spacing w:lineRule="auto" w:line="285" w:before="0" w:after="0"/>
              <w:ind w:left="0" w:right="0" w:hanging="0"/>
              <w:jc w:val="left"/>
              <w:rPr/>
            </w:pPr>
            <w:r>
              <w:rPr/>
              <w:t>​</w:t>
            </w:r>
          </w:p>
        </w:tc>
      </w:tr>
      <w:tr>
        <w:trPr/>
        <w:tc>
          <w:tcPr>
            <w:tcW w:w="23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pPr>
            <w:r>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1-13079</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73-0664379</w:t>
            </w:r>
          </w:p>
        </w:tc>
      </w:tr>
      <w:tr>
        <w:trPr/>
        <w:tc>
          <w:tcPr>
            <w:tcW w:w="23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incorporation)</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pPr>
            <w:r>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File Number)</w:t>
            </w:r>
          </w:p>
        </w:tc>
        <w:tc>
          <w:tcPr>
            <w:tcW w:w="1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11" w:name="Tc_y8bxzwhSOk66sEJVLeSoSw_2_1"/>
      <w:bookmarkStart w:id="12" w:name="Tc_ygjV48lQSEWW26ZbPjm-2Q_2_0"/>
      <w:bookmarkStart w:id="13" w:name="Tc_6CSZnFr8ZE2JmUMQEAWRmQ_1_0"/>
      <w:bookmarkStart w:id="14" w:name="_055d25ab_83e5_4524_b069_bc6f884e800e"/>
      <w:bookmarkStart w:id="15" w:name="Tc_y8bxzwhSOk66sEJVLeSoSw_2_1"/>
      <w:bookmarkStart w:id="16" w:name="Tc_ygjV48lQSEWW26ZbPjm-2Q_2_0"/>
      <w:bookmarkStart w:id="17" w:name="Tc_6CSZnFr8ZE2JmUMQEAWRmQ_1_0"/>
      <w:bookmarkStart w:id="18" w:name="_055d25ab_83e5_4524_b069_bc6f884e800e"/>
      <w:bookmarkEnd w:id="15"/>
      <w:bookmarkEnd w:id="16"/>
      <w:bookmarkEnd w:id="17"/>
      <w:bookmarkEnd w:id="18"/>
    </w:p>
    <w:tbl>
      <w:tblPr>
        <w:tblW w:w="4596" w:type="dxa"/>
        <w:jc w:val="left"/>
        <w:tblInd w:w="0" w:type="dxa"/>
        <w:tblLayout w:type="fixed"/>
        <w:tblCellMar>
          <w:top w:w="0" w:type="dxa"/>
          <w:left w:w="0" w:type="dxa"/>
          <w:bottom w:w="0" w:type="dxa"/>
          <w:right w:w="0" w:type="dxa"/>
        </w:tblCellMar>
      </w:tblPr>
      <w:tblGrid>
        <w:gridCol w:w="3376"/>
        <w:gridCol w:w="1066"/>
        <w:gridCol w:w="154"/>
      </w:tblGrid>
      <w:tr>
        <w:trPr/>
        <w:tc>
          <w:tcPr>
            <w:tcW w:w="3376"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307" w:before="0" w:after="160"/>
              <w:ind w:left="0" w:right="0" w:hanging="0"/>
              <w:jc w:val="left"/>
              <w:rPr/>
            </w:pPr>
            <w:r>
              <w:rPr/>
              <w:t>​</w: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76910" cy="29210"/>
                      <wp:effectExtent l="0" t="0" r="0" b="0"/>
                      <wp:wrapNone/>
                      <wp:docPr id="1" name="Frame1"/>
                      <a:graphic xmlns:a="http://schemas.openxmlformats.org/drawingml/2006/main">
                        <a:graphicData uri="http://schemas.microsoft.com/office/word/2010/wordprocessingShape">
                          <wps:wsp>
                            <wps:cNvSpPr txBox="1"/>
                            <wps:spPr>
                              <a:xfrm>
                                <a:off x="0" y="0"/>
                                <a:ext cx="676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7790" cy="175260"/>
                      <wp:effectExtent l="0" t="0" r="0" b="0"/>
                      <wp:wrapNone/>
                      <wp:docPr id="2" name="Frame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One Gaylord Drive</w:t>
            </w:r>
          </w:p>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Nashville, Tennessee</w:t>
            </w:r>
          </w:p>
        </w:tc>
        <w:tc>
          <w:tcPr>
            <w:tcW w:w="1066" w:type="dxa"/>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37214</w:t>
            </w:r>
          </w:p>
        </w:tc>
        <w:tc>
          <w:tcPr>
            <w:tcW w:w="154" w:type="dxa"/>
            <w:tcBorders/>
            <w:vAlign w:val="center"/>
          </w:tcPr>
          <w:p>
            <w:pPr>
              <w:pStyle w:val="TableContents"/>
              <w:bidi w:val="0"/>
              <w:spacing w:lineRule="auto" w:line="307" w:before="0" w:after="160"/>
              <w:ind w:left="0" w:right="0" w:hanging="0"/>
              <w:jc w:val="center"/>
              <w:rPr/>
            </w:pPr>
            <w:r>
              <w:rPr/>
              <w:t>​</w:t>
            </w:r>
          </w:p>
        </w:tc>
      </w:tr>
      <w:tr>
        <w:trPr/>
        <w:tc>
          <w:tcPr>
            <w:tcW w:w="3376" w:type="dxa"/>
            <w:tcBorders/>
            <w:vAlign w:val="center"/>
          </w:tcPr>
          <w:p>
            <w:pPr>
              <w:pStyle w:val="TableContents"/>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66" w:type="dxa"/>
            <w:tcBorders/>
            <w:vAlign w:val="center"/>
          </w:tcPr>
          <w:p>
            <w:pPr>
              <w:pStyle w:val="TableContents"/>
              <w:bidi w:val="0"/>
              <w:spacing w:lineRule="auto" w:line="307" w:before="0" w:after="0"/>
              <w:ind w:left="0" w:right="0" w:hanging="0"/>
              <w:jc w:val="left"/>
              <w:rPr/>
            </w:pPr>
            <w:r>
              <w:rPr/>
              <w:t> </w:t>
            </w:r>
            <w:r>
              <w:rPr>
                <w:rFonts w:ascii="Times New Roman;Times;serif" w:hAnsi="Times New Roman;Times;serif"/>
                <w:b/>
                <w:sz w:val="20"/>
              </w:rPr>
              <w:t>(Zip Code)</w:t>
            </w:r>
          </w:p>
        </w:tc>
        <w:tc>
          <w:tcPr>
            <w:tcW w:w="154" w:type="dxa"/>
            <w:tcBorders/>
            <w:vAlign w:val="center"/>
          </w:tcPr>
          <w:p>
            <w:pPr>
              <w:pStyle w:val="TableContents"/>
              <w:bidi w:val="0"/>
              <w:spacing w:lineRule="auto" w:line="307" w:before="0" w:after="160"/>
              <w:ind w:left="0" w:right="0" w:hanging="0"/>
              <w:jc w:val="center"/>
              <w:rPr/>
            </w:pPr>
            <w:r>
              <w:rPr/>
              <w:t>​</w:t>
            </w:r>
          </w:p>
        </w:tc>
      </w:tr>
    </w:tbl>
    <w:p>
      <w:pPr>
        <w:pStyle w:val="TextBody"/>
        <w:bidi w:val="0"/>
        <w:spacing w:lineRule="auto" w:line="307" w:before="264"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(615) 316-6000</w:t>
      </w:r>
    </w:p>
    <w:p>
      <w:pPr>
        <w:pStyle w:val="TextBody"/>
        <w:bidi w:val="0"/>
        <w:spacing w:lineRule="auto" w:line="307" w:before="120" w:after="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pBdr>
          <w:bottom w:val="single" w:sz="2" w:space="1" w:color="000000"/>
        </w:pBdr>
        <w:bidi w:val="0"/>
        <w:spacing w:lineRule="auto" w:line="307" w:before="0" w:after="160"/>
        <w:ind w:left="0" w:right="0" w:hanging="0"/>
        <w:jc w:val="left"/>
        <w:rPr/>
      </w:pPr>
      <w:r>
        <w:rPr/>
        <w:t>​</w:t>
      </w:r>
    </w:p>
    <w:p>
      <w:pPr>
        <w:pStyle w:val="TextBody"/>
        <w:bidi w:val="0"/>
        <w:spacing w:lineRule="auto" w:line="307" w:before="120" w:after="0"/>
        <w:ind w:left="0" w:right="0" w:firstLine="462"/>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307" w:before="0" w:after="160"/>
        <w:ind w:left="0" w:right="0" w:hanging="0"/>
        <w:jc w:val="left"/>
        <w:rPr/>
      </w:pPr>
      <w:r>
        <w:rPr/>
        <w:t>​</w:t>
      </w:r>
    </w:p>
    <w:p>
      <w:pPr>
        <w:pStyle w:val="Normal"/>
        <w:bidi w:val="0"/>
        <w:spacing w:before="0" w:after="0"/>
        <w:jc w:val="left"/>
        <w:rPr>
          <w:sz w:val="4"/>
          <w:szCs w:val="4"/>
        </w:rPr>
      </w:pPr>
      <w:r>
        <w:rPr>
          <w:sz w:val="4"/>
          <w:szCs w:val="4"/>
        </w:rPr>
      </w:r>
      <w:bookmarkStart w:id="19" w:name="Tc_XzWS7dgDe0Gpk4AmStcVxg_4_1"/>
      <w:bookmarkStart w:id="20" w:name="Tc_3fD0_Wj3F06diOLhpBJ11w_3_1"/>
      <w:bookmarkStart w:id="21" w:name="Tc_9Hvl1IRRok2f1oZfI0o6xw_2_1"/>
      <w:bookmarkStart w:id="22" w:name="Tc_mqYNqjV-XUSly34fnjs9IA_1_1"/>
      <w:bookmarkStart w:id="23" w:name="_ba16633d_2386_4415_9352_6018f8e74b96"/>
      <w:bookmarkStart w:id="24" w:name="Tc_XzWS7dgDe0Gpk4AmStcVxg_4_1"/>
      <w:bookmarkStart w:id="25" w:name="Tc_3fD0_Wj3F06diOLhpBJ11w_3_1"/>
      <w:bookmarkStart w:id="26" w:name="Tc_9Hvl1IRRok2f1oZfI0o6xw_2_1"/>
      <w:bookmarkStart w:id="27" w:name="Tc_mqYNqjV-XUSly34fnjs9IA_1_1"/>
      <w:bookmarkStart w:id="28" w:name="_ba16633d_2386_4415_9352_6018f8e74b96"/>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lineRule="auto" w:line="307" w:before="0" w:after="160"/>
              <w:ind w:left="0" w:right="0" w:hanging="0"/>
              <w:jc w:val="left"/>
              <w:rPr/>
            </w:pPr>
            <w:r>
              <w:rPr/>
              <w:t>​</w:t>
            </w:r>
          </w:p>
        </w:tc>
        <w:tc>
          <w:tcPr>
            <w:tcW w:w="9181" w:type="dxa"/>
            <w:tcBorders/>
            <w:vAlign w:val="center"/>
          </w:tcPr>
          <w:p>
            <w:pPr>
              <w:pStyle w:val="TableContents"/>
              <w:bidi w:val="0"/>
              <w:spacing w:lineRule="auto" w:line="307" w:before="0" w:after="160"/>
              <w:ind w:left="0" w:right="0" w:hanging="0"/>
              <w:jc w:val="left"/>
              <w:rPr/>
            </w:pPr>
            <w:r>
              <w:rPr/>
              <w:t>​</w:t>
            </w:r>
          </w:p>
        </w:tc>
      </w:tr>
      <w:tr>
        <w:trPr/>
        <w:tc>
          <w:tcPr>
            <w:tcW w:w="331" w:type="dxa"/>
            <w:tcBorders/>
            <w:vAlign w:val="center"/>
          </w:tcPr>
          <w:p>
            <w:pPr>
              <w:pStyle w:val="TableContents"/>
              <w:bidi w:val="0"/>
              <w:spacing w:lineRule="auto" w:line="307" w:before="0" w:after="0"/>
              <w:ind w:left="0" w:right="0" w:hanging="0"/>
              <w:jc w:val="left"/>
              <w:rPr/>
            </w:pPr>
            <w:r>
              <w:rPr/>
              <w:t>☐</w:t>
            </w:r>
          </w:p>
        </w:tc>
        <w:tc>
          <w:tcPr>
            <w:tcW w:w="91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lineRule="auto" w:line="307" w:before="0" w:after="0"/>
              <w:ind w:left="0" w:right="0" w:hanging="0"/>
              <w:jc w:val="left"/>
              <w:rPr/>
            </w:pPr>
            <w:r>
              <w:rPr/>
              <w:t>☐</w:t>
            </w:r>
          </w:p>
        </w:tc>
        <w:tc>
          <w:tcPr>
            <w:tcW w:w="91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lineRule="auto" w:line="307" w:before="0" w:after="0"/>
              <w:ind w:left="0" w:right="0" w:hanging="0"/>
              <w:jc w:val="left"/>
              <w:rPr/>
            </w:pPr>
            <w:r>
              <w:rPr/>
              <w:t>☐</w:t>
            </w:r>
          </w:p>
        </w:tc>
        <w:tc>
          <w:tcPr>
            <w:tcW w:w="91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lineRule="auto" w:line="307" w:before="0" w:after="0"/>
              <w:ind w:left="0" w:right="0" w:hanging="0"/>
              <w:jc w:val="left"/>
              <w:rPr/>
            </w:pPr>
            <w:r>
              <w:rPr/>
              <w:t>☐</w:t>
            </w:r>
          </w:p>
        </w:tc>
        <w:tc>
          <w:tcPr>
            <w:tcW w:w="918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9" w:name="Tc_17jxyou8XkKoDAfQUpkM_w_1_4"/>
      <w:bookmarkStart w:id="30" w:name="Tc_QDQrbh4c7UCas3ceLf9-Tg_1_2"/>
      <w:bookmarkStart w:id="31" w:name="Tc_l7MsOyHo5E6PU0br2G0vOQ_1_0"/>
      <w:bookmarkStart w:id="32" w:name="_7caa5ac2_bf12_44ce_9bd3_e72af5a75ac3"/>
      <w:bookmarkStart w:id="33" w:name="Tc_17jxyou8XkKoDAfQUpkM_w_1_4"/>
      <w:bookmarkStart w:id="34" w:name="Tc_QDQrbh4c7UCas3ceLf9-Tg_1_2"/>
      <w:bookmarkStart w:id="35" w:name="Tc_l7MsOyHo5E6PU0br2G0vOQ_1_0"/>
      <w:bookmarkStart w:id="36" w:name="_7caa5ac2_bf12_44ce_9bd3_e72af5a75ac3"/>
      <w:bookmarkEnd w:id="33"/>
      <w:bookmarkEnd w:id="34"/>
      <w:bookmarkEnd w:id="35"/>
      <w:bookmarkEnd w:id="36"/>
    </w:p>
    <w:tbl>
      <w:tblPr>
        <w:tblW w:w="8825" w:type="dxa"/>
        <w:jc w:val="left"/>
        <w:tblInd w:w="0" w:type="dxa"/>
        <w:tblLayout w:type="fixed"/>
        <w:tblCellMar>
          <w:top w:w="0" w:type="dxa"/>
          <w:left w:w="0" w:type="dxa"/>
          <w:bottom w:w="0" w:type="dxa"/>
          <w:right w:w="0" w:type="dxa"/>
        </w:tblCellMar>
      </w:tblPr>
      <w:tblGrid>
        <w:gridCol w:w="2626"/>
        <w:gridCol w:w="346"/>
        <w:gridCol w:w="1621"/>
        <w:gridCol w:w="346"/>
        <w:gridCol w:w="388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67510" cy="29210"/>
                      <wp:effectExtent l="0" t="0" r="0" b="0"/>
                      <wp:wrapNone/>
                      <wp:docPr id="3" name="Frame3"/>
                      <a:graphic xmlns:a="http://schemas.openxmlformats.org/drawingml/2006/main">
                        <a:graphicData uri="http://schemas.microsoft.com/office/word/2010/wordprocessingShape">
                          <wps:wsp>
                            <wps:cNvSpPr txBox="1"/>
                            <wps:spPr>
                              <a:xfrm>
                                <a:off x="0" y="0"/>
                                <a:ext cx="1667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29335" cy="29210"/>
                      <wp:effectExtent l="0" t="0" r="0" b="0"/>
                      <wp:wrapNone/>
                      <wp:docPr id="4" name="Frame4"/>
                      <a:graphic xmlns:a="http://schemas.openxmlformats.org/drawingml/2006/main">
                        <a:graphicData uri="http://schemas.microsoft.com/office/word/2010/wordprocessingShape">
                          <wps:wsp>
                            <wps:cNvSpPr txBox="1"/>
                            <wps:spPr>
                              <a:xfrm>
                                <a:off x="0" y="0"/>
                                <a:ext cx="1029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lineRule="auto" w:line="307" w:before="0" w:after="160"/>
              <w:ind w:left="0" w:right="0" w:hanging="0"/>
              <w:jc w:val="left"/>
              <w:rPr/>
            </w:pPr>
            <w:r>
              <w:rPr/>
              <w:t>​</w:t>
            </w:r>
          </w:p>
        </w:tc>
        <w:tc>
          <w:tcPr>
            <w:tcW w:w="3886" w:type="dxa"/>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bottom w:val="single" w:sz="2" w:space="0" w:color="000000"/>
            </w:tcBorders>
            <w:tcMar>
              <w:bottom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lineRule="auto" w:line="307" w:before="0" w:after="0"/>
              <w:ind w:left="0" w:right="0" w:hanging="0"/>
              <w:jc w:val="center"/>
              <w:rPr/>
            </w:pPr>
            <w:r>
              <w:rPr/>
              <w:t>  ​ ​ ​</w:t>
            </w:r>
          </w:p>
        </w:tc>
        <w:tc>
          <w:tcPr>
            <w:tcW w:w="1621" w:type="dxa"/>
            <w:tcBorders>
              <w:bottom w:val="single" w:sz="2" w:space="0" w:color="000000"/>
            </w:tcBorders>
            <w:tcMar>
              <w:bottom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6" w:type="dxa"/>
            <w:tcBorders/>
            <w:vAlign w:val="center"/>
          </w:tcPr>
          <w:p>
            <w:pPr>
              <w:pStyle w:val="TableContents"/>
              <w:bidi w:val="0"/>
              <w:spacing w:lineRule="auto" w:line="307" w:before="0" w:after="0"/>
              <w:ind w:left="0" w:right="0" w:hanging="0"/>
              <w:jc w:val="center"/>
              <w:rPr/>
            </w:pPr>
            <w:r>
              <w:rPr/>
              <w:t>  ​ ​ ​</w:t>
            </w:r>
          </w:p>
        </w:tc>
        <w:tc>
          <w:tcPr>
            <w:tcW w:w="3886" w:type="dxa"/>
            <w:tcBorders>
              <w:bottom w:val="single" w:sz="2" w:space="0" w:color="000000"/>
            </w:tcBorders>
            <w:tcMar>
              <w:bottom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26" w:type="dxa"/>
            <w:tcBorders>
              <w:top w:val="single" w:sz="2" w:space="0" w:color="000000"/>
            </w:tcBorders>
            <w:tcMar>
              <w:top w:w="28" w:type="dxa"/>
            </w:tcMar>
            <w:vAlign w:val="center"/>
          </w:tcPr>
          <w:p>
            <w:pPr>
              <w:pStyle w:val="TableContents"/>
              <w:pBdr/>
              <w:bidi w:val="0"/>
              <w:spacing w:lineRule="auto" w:line="307" w:before="0" w:after="120"/>
              <w:ind w:left="0" w:right="0" w:hanging="0"/>
              <w:jc w:val="center"/>
              <w:rPr>
                <w:rFonts w:ascii="Times New Roman;Times;serif" w:hAnsi="Times New Roman;Times;serif"/>
                <w:sz w:val="20"/>
              </w:rPr>
            </w:pPr>
            <w:r>
              <w:rPr>
                <w:rFonts w:ascii="Times New Roman;Times;serif" w:hAnsi="Times New Roman;Times;serif"/>
                <w:sz w:val="20"/>
              </w:rPr>
              <w:t>Common Stock, par value $.01</w:t>
            </w:r>
          </w:p>
        </w:tc>
        <w:tc>
          <w:tcPr>
            <w:tcW w:w="346" w:type="dxa"/>
            <w:tcBorders/>
            <w:vAlign w:val="center"/>
          </w:tcPr>
          <w:p>
            <w:pPr>
              <w:pStyle w:val="TableContents"/>
              <w:bidi w:val="0"/>
              <w:spacing w:lineRule="auto" w:line="307" w:before="0" w:after="160"/>
              <w:ind w:left="0" w:right="0" w:hanging="0"/>
              <w:jc w:val="center"/>
              <w:rPr/>
            </w:pPr>
            <w:r>
              <w:rPr/>
              <w:t>​</w:t>
            </w:r>
          </w:p>
        </w:tc>
        <w:tc>
          <w:tcPr>
            <w:tcW w:w="1621" w:type="dxa"/>
            <w:tcBorders>
              <w:top w:val="single" w:sz="2" w:space="0" w:color="000000"/>
            </w:tcBorders>
            <w:tcMar>
              <w:top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RHP</w:t>
            </w:r>
          </w:p>
        </w:tc>
        <w:tc>
          <w:tcPr>
            <w:tcW w:w="346" w:type="dxa"/>
            <w:tcBorders/>
            <w:vAlign w:val="center"/>
          </w:tcPr>
          <w:p>
            <w:pPr>
              <w:pStyle w:val="TableContents"/>
              <w:bidi w:val="0"/>
              <w:spacing w:lineRule="auto" w:line="307" w:before="0" w:after="160"/>
              <w:ind w:left="0" w:right="0" w:hanging="0"/>
              <w:jc w:val="center"/>
              <w:rPr/>
            </w:pPr>
            <w:r>
              <w:rPr/>
              <w:t>​</w:t>
            </w:r>
          </w:p>
        </w:tc>
        <w:tc>
          <w:tcPr>
            <w:tcW w:w="3886" w:type="dxa"/>
            <w:tcBorders>
              <w:top w:val="single" w:sz="2" w:space="0" w:color="000000"/>
            </w:tcBorders>
            <w:tcMar>
              <w:top w:w="28" w:type="dxa"/>
            </w:tcMar>
            <w:vAlign w:val="center"/>
          </w:tcPr>
          <w:p>
            <w:pPr>
              <w:pStyle w:val="TableContents"/>
              <w:bidi w:val="0"/>
              <w:spacing w:lineRule="auto" w:line="307"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pBdr/>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0"/>
        </w:rPr>
        <w:t>Emerging growth company  </w:t>
      </w:r>
      <w:r>
        <w:rPr>
          <w:rFonts w:ascii="Times New Roman;Times;serif" w:hAnsi="Times New Roman;Times;serif"/>
          <w:sz w:val="24"/>
        </w:rPr>
        <w:t>☐</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 </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2"/>
        </w:rPr>
      </w:pPr>
      <w:bookmarkStart w:id="37" w:name="_96ed0fcf_fe77_44e8_9386_7333cb707d9e"/>
      <w:bookmarkEnd w:id="37"/>
      <w:r>
        <w:rPr>
          <w:rFonts w:ascii="Times New Roman;Times;serif" w:hAnsi="Times New Roman;Times;serif"/>
          <w:b/>
          <w:i w:val="false"/>
          <w:caps w:val="false"/>
          <w:smallCaps w:val="false"/>
          <w:sz w:val="22"/>
        </w:rPr>
        <w:t>ITEM 2.02.</w:t>
      </w:r>
      <w:r>
        <w:rPr>
          <w:rFonts w:ascii="Times New Roman;Times;serif" w:hAnsi="Times New Roman;Times;serif"/>
          <w:b/>
          <w:sz w:val="22"/>
        </w:rPr>
        <w:t>RESULTS OF OPERATIONS AND FINANCIAL CONDITION.</w:t>
      </w:r>
    </w:p>
    <w:p>
      <w:pPr>
        <w:pStyle w:val="TextBody"/>
        <w:bidi w:val="0"/>
        <w:spacing w:lineRule="auto" w:line="307" w:before="132" w:after="0"/>
        <w:ind w:left="0" w:right="0" w:firstLine="720"/>
        <w:jc w:val="left"/>
        <w:rPr>
          <w:rFonts w:ascii="Times New Roman;Times;serif" w:hAnsi="Times New Roman;Times;serif"/>
          <w:sz w:val="22"/>
        </w:rPr>
      </w:pPr>
      <w:bookmarkStart w:id="38" w:name="item_1_47_1"/>
      <w:bookmarkStart w:id="39" w:name="part_1_2_2"/>
      <w:bookmarkEnd w:id="38"/>
      <w:bookmarkEnd w:id="39"/>
      <w:r>
        <w:rPr>
          <w:rFonts w:ascii="Times New Roman;Times;serif" w:hAnsi="Times New Roman;Times;serif"/>
          <w:sz w:val="22"/>
        </w:rPr>
        <w:t>On August 6, 2026, Ryman Hospitality Properties, Inc. (the “Company”) issued a press release announcing its financial results for the quarter ended June 30, 2026 and revising guidance for certain financial measures for 2026. A copy of the press release is furnished herewith as Exhibit 99.1 and incorporated herein by reference.</w:t>
      </w:r>
    </w:p>
    <w:p>
      <w:pPr>
        <w:pStyle w:val="TextBody"/>
        <w:bidi w:val="0"/>
        <w:spacing w:lineRule="auto" w:line="307" w:before="132" w:after="0"/>
        <w:ind w:left="0" w:right="0" w:hanging="0"/>
        <w:jc w:val="left"/>
        <w:rPr>
          <w:rFonts w:ascii="Times New Roman;Times;serif" w:hAnsi="Times New Roman;Times;serif"/>
          <w:sz w:val="22"/>
        </w:rPr>
      </w:pPr>
      <w:bookmarkStart w:id="40" w:name="_b8225ba7_ff76_42b7_83c6_1527e406a9ea"/>
      <w:bookmarkEnd w:id="40"/>
      <w:r>
        <w:rPr>
          <w:rFonts w:ascii="Times New Roman;Times;serif" w:hAnsi="Times New Roman;Times;serif"/>
          <w:b/>
          <w:i w:val="false"/>
          <w:caps w:val="false"/>
          <w:smallCaps w:val="false"/>
          <w:sz w:val="22"/>
        </w:rPr>
        <w:t>ITEM 9.01.</w:t>
      </w:r>
      <w:r>
        <w:rPr>
          <w:rFonts w:ascii="Times New Roman;Times;serif" w:hAnsi="Times New Roman;Times;serif"/>
          <w:b/>
          <w:sz w:val="22"/>
        </w:rPr>
        <w:t>FINANCIAL STATEMENTS AND EXHIBITS.</w:t>
      </w:r>
    </w:p>
    <w:p>
      <w:pPr>
        <w:pStyle w:val="TextBody"/>
        <w:bidi w:val="0"/>
        <w:spacing w:lineRule="auto" w:line="307" w:before="0" w:after="160"/>
        <w:ind w:left="0" w:right="0" w:hanging="0"/>
        <w:jc w:val="left"/>
        <w:rPr/>
      </w:pPr>
      <w:r>
        <w:rPr/>
        <w:t>​</w:t>
      </w:r>
    </w:p>
    <w:p>
      <w:pPr>
        <w:pStyle w:val="TextBody"/>
        <w:bidi w:val="0"/>
        <w:spacing w:lineRule="auto" w:line="307"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Exhibits</w:t>
      </w:r>
    </w:p>
    <w:p>
      <w:pPr>
        <w:pStyle w:val="TextBody"/>
        <w:bidi w:val="0"/>
        <w:spacing w:lineRule="auto" w:line="307" w:before="0" w:after="160"/>
        <w:ind w:left="0" w:right="0" w:hanging="0"/>
        <w:jc w:val="left"/>
        <w:rPr/>
      </w:pPr>
      <w:r>
        <w:rPr/>
        <w:t>​</w:t>
      </w:r>
    </w:p>
    <w:p>
      <w:pPr>
        <w:pStyle w:val="TextBody"/>
        <w:bidi w:val="0"/>
        <w:spacing w:lineRule="auto" w:line="307" w:before="0" w:after="0"/>
        <w:ind w:left="720" w:right="0" w:hanging="0"/>
        <w:jc w:val="left"/>
        <w:rPr/>
      </w:pPr>
      <w:r>
        <w:rPr>
          <w:rFonts w:ascii="Times New Roman;Times;serif" w:hAnsi="Times New Roman;Times;serif"/>
          <w:b w:val="false"/>
          <w:i w:val="false"/>
          <w:caps w:val="false"/>
          <w:smallCaps w:val="false"/>
          <w:sz w:val="22"/>
        </w:rPr>
        <w:t>99.1</w:t>
      </w:r>
      <w:hyperlink w:anchor="tmb-20260806xex99d1.htm">
        <w:r>
          <w:rPr>
            <w:rStyle w:val="InternetLink"/>
            <w:rFonts w:ascii="Times New Roman;Times;serif" w:hAnsi="Times New Roman;Times;serif"/>
            <w:b w:val="false"/>
            <w:i w:val="false"/>
            <w:caps w:val="false"/>
            <w:smallCaps w:val="false"/>
            <w:sz w:val="22"/>
          </w:rPr>
          <w:t>Press Release of Ryman Hospitality Properties, Inc. dated August 6, 2026.</w:t>
        </w:r>
      </w:hyperlink>
    </w:p>
    <w:p>
      <w:pPr>
        <w:pStyle w:val="TextBody"/>
        <w:bidi w:val="0"/>
        <w:spacing w:lineRule="auto" w:line="307" w:before="0" w:after="160"/>
        <w:ind w:left="720" w:right="0" w:hanging="0"/>
        <w:jc w:val="left"/>
        <w:rPr/>
      </w:pPr>
      <w:r>
        <w:rPr/>
        <w:t>​</w:t>
      </w:r>
    </w:p>
    <w:p>
      <w:pPr>
        <w:pStyle w:val="TextBody"/>
        <w:bidi w:val="0"/>
        <w:spacing w:lineRule="auto" w:line="307" w:before="0"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104</w:t>
      </w:r>
      <w:r>
        <w:rPr>
          <w:rFonts w:ascii="Times New Roman;Times;serif" w:hAnsi="Times New Roman;Times;serif"/>
          <w:sz w:val="22"/>
        </w:rPr>
        <w:t xml:space="preserve">Cover Page Interactive Data File (embedded within the Inline XBRL document).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center"/>
        <w:rPr>
          <w:rFonts w:ascii="Times New Roman;Times;serif" w:hAnsi="Times New Roman;Times;serif"/>
          <w:b/>
          <w:sz w:val="22"/>
        </w:rPr>
      </w:pPr>
      <w:bookmarkStart w:id="41" w:name="_51f9adea_a6a8_453d_a219_8fb64c34884f"/>
      <w:bookmarkStart w:id="42" w:name="part_1_2_3"/>
      <w:bookmarkEnd w:id="41"/>
      <w:bookmarkEnd w:id="42"/>
      <w:r>
        <w:rPr>
          <w:rFonts w:ascii="Times New Roman;Times;serif" w:hAnsi="Times New Roman;Times;serif"/>
          <w:b/>
          <w:sz w:val="22"/>
        </w:rPr>
        <w:t>SIGNATURES</w:t>
      </w:r>
    </w:p>
    <w:p>
      <w:pPr>
        <w:pStyle w:val="TextBody"/>
        <w:bidi w:val="0"/>
        <w:spacing w:lineRule="auto" w:line="307" w:before="264" w:after="0"/>
        <w:ind w:left="0" w:right="0" w:firstLine="720"/>
        <w:jc w:val="left"/>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4"/>
        </w:rPr>
      </w:pPr>
      <w:r>
        <w:rPr>
          <w:rFonts w:ascii="Times New Roman;Times;serif" w:hAnsi="Times New Roman;Times;serif"/>
          <w:sz w:val="24"/>
        </w:rPr>
        <w:t>RYMAN HOSPITALITY PROPERTIES, INC.</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both"/>
        <w:rPr>
          <w:rFonts w:ascii="Times New Roman;Times;serif" w:hAnsi="Times New Roman;Times;serif"/>
          <w:sz w:val="22"/>
        </w:rPr>
      </w:pPr>
      <w:r>
        <w:rPr>
          <w:rFonts w:ascii="Times New Roman;Times;serif" w:hAnsi="Times New Roman;Times;serif"/>
          <w:sz w:val="22"/>
        </w:rPr>
        <w:t>Date: August 7, 2026 By: /s/ Scott J. Lynn</w:t>
      </w:r>
      <w:r>
        <w:rPr>
          <w:rFonts w:ascii="Times New Roman;Times;serif" w:hAnsi="Times New Roman;Times;serif"/>
          <w:sz w:val="22"/>
          <w:u w:val="single"/>
        </w:rPr>
        <w:t>​ ​</w:t>
      </w:r>
    </w:p>
    <w:p>
      <w:pPr>
        <w:pStyle w:val="TextBody"/>
        <w:bidi w:val="0"/>
        <w:spacing w:lineRule="auto" w:line="307" w:before="0" w:after="0"/>
        <w:ind w:left="0" w:right="0" w:hanging="0"/>
        <w:jc w:val="left"/>
        <w:rPr>
          <w:rFonts w:ascii="Times New Roman;Times;serif" w:hAnsi="Times New Roman;Times;serif"/>
          <w:sz w:val="22"/>
        </w:rPr>
      </w:pPr>
      <w:r>
        <w:rPr>
          <w:rFonts w:ascii="Times New Roman;Times;serif" w:hAnsi="Times New Roman;Times;serif"/>
          <w:sz w:val="22"/>
        </w:rPr>
        <w:t>Name: Scott J. Lynn</w:t>
      </w:r>
    </w:p>
    <w:tbl>
      <w:tblPr>
        <w:tblW w:w="6276" w:type="dxa"/>
        <w:jc w:val="left"/>
        <w:tblInd w:w="0" w:type="dxa"/>
        <w:tblLayout w:type="fixed"/>
        <w:tblCellMar>
          <w:top w:w="0" w:type="dxa"/>
          <w:left w:w="0" w:type="dxa"/>
          <w:bottom w:w="0" w:type="dxa"/>
          <w:right w:w="0" w:type="dxa"/>
        </w:tblCellMar>
      </w:tblPr>
      <w:tblGrid>
        <w:gridCol w:w="124"/>
        <w:gridCol w:w="64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307" w:before="0" w:after="0"/>
              <w:jc w:val="left"/>
              <w:rPr>
                <w:rFonts w:ascii="Times New Roman;Times;serif" w:hAnsi="Times New Roman;Times;serif"/>
                <w:sz w:val="22"/>
              </w:rPr>
            </w:pPr>
            <w:r>
              <w:rPr>
                <w:rFonts w:ascii="Times New Roman;Times;serif" w:hAnsi="Times New Roman;Times;serif"/>
                <w:sz w:val="22"/>
              </w:rPr>
              <w:t xml:space="preserve">Title: </w:t>
            </w:r>
          </w:p>
        </w:tc>
        <w:tc>
          <w:tcPr>
            <w:tcW w:w="5506" w:type="dxa"/>
            <w:tcBorders/>
            <w:vAlign w:val="center"/>
          </w:tcPr>
          <w:p>
            <w:pPr>
              <w:pStyle w:val="TableContents"/>
              <w:bidi w:val="0"/>
              <w:spacing w:lineRule="auto" w:line="307" w:before="0" w:after="0"/>
              <w:jc w:val="left"/>
              <w:rPr>
                <w:rFonts w:ascii="Times New Roman;Times;serif" w:hAnsi="Times New Roman;Times;serif"/>
                <w:sz w:val="22"/>
              </w:rPr>
            </w:pPr>
            <w:r>
              <w:rPr>
                <w:rFonts w:ascii="Times New Roman;Times;serif" w:hAnsi="Times New Roman;Times;serif"/>
                <w:sz w:val="22"/>
              </w:rPr>
              <w:t>Executive Vice President, General Counsel and Secretary</w:t>
            </w:r>
          </w:p>
        </w:tc>
      </w:tr>
    </w:tbl>
    <w:p>
      <w:pPr>
        <w:pStyle w:val="TextBody"/>
        <w:bidi w:val="0"/>
        <w:spacing w:lineRule="auto" w:line="285" w:before="0" w:after="0"/>
        <w:ind w:left="0" w:right="0" w:hanging="0"/>
        <w:jc w:val="left"/>
        <w:rPr/>
      </w:pPr>
      <w:bookmarkStart w:id="43" w:name="part_1_2_4"/>
      <w:bookmarkEnd w:id="43"/>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0" w:after="120"/>
        <w:ind w:left="0" w:right="0" w:hanging="0"/>
        <w:jc w:val="right"/>
        <w:rPr>
          <w:rFonts w:ascii="Times New Roman;Times;serif" w:hAnsi="Times New Roman;Times;serif"/>
          <w:b/>
          <w:sz w:val="22"/>
        </w:rPr>
      </w:pPr>
      <w:bookmarkStart w:id="44" w:name="tmb-20260806xex99d1.htm"/>
      <w:bookmarkStart w:id="45" w:name="kstmb20260806xex99d1"/>
      <w:bookmarkEnd w:id="44"/>
      <w:bookmarkEnd w:id="45"/>
      <w:r>
        <w:rPr>
          <w:rFonts w:ascii="Times New Roman;Times;serif" w:hAnsi="Times New Roman;Times;serif"/>
          <w:b/>
          <w:sz w:val="22"/>
        </w:rPr>
        <w:t>Exhibit 99.1</w:t>
      </w:r>
      <w:r>
        <w:br w:type="page"/>
      </w:r>
    </w:p>
    <w:p>
      <w:pPr>
        <w:pStyle w:val="TextBody"/>
        <w:bidi w:val="0"/>
        <w:spacing w:before="0" w:after="240"/>
        <w:ind w:left="0" w:right="0" w:hanging="0"/>
        <w:jc w:val="center"/>
        <w:rPr/>
      </w:pPr>
      <w:r>
        <w:rPr/>
        <w:drawing>
          <wp:inline distT="0" distB="0" distL="0" distR="0">
            <wp:extent cx="2496820" cy="787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496820" cy="78740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Ryman Hospitality Properties, Inc. Reports Second Quarter 2026 Results</w:t>
      </w:r>
    </w:p>
    <w:p>
      <w:pPr>
        <w:pStyle w:val="TextBody"/>
        <w:bidi w:val="0"/>
        <w:spacing w:lineRule="auto" w:line="429" w:before="0" w:after="240"/>
        <w:ind w:left="0" w:right="0" w:hanging="0"/>
        <w:jc w:val="both"/>
        <w:rPr>
          <w:rFonts w:ascii="Times New Roman;Times;serif" w:hAnsi="Times New Roman;Times;serif"/>
          <w:sz w:val="22"/>
        </w:rPr>
      </w:pPr>
      <w:bookmarkStart w:id="46" w:name="_Hlk39496345"/>
      <w:bookmarkEnd w:id="46"/>
      <w:r>
        <w:rPr>
          <w:rFonts w:ascii="Times New Roman;Times;serif" w:hAnsi="Times New Roman;Times;serif"/>
          <w:sz w:val="22"/>
        </w:rPr>
        <w:t>NASHVILLE, Tenn. (August 6, 2026) – Ryman Hospitality Properties, Inc. (NYSE: RHP), a leading lodging real estate investment trust (“REIT”) specializing in group-oriented, upscale convention center resorts and entertainment experiences, today reported financial results for the three and six months ended June 30, 2026.</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Second Quarter 2026 Highlights and Recent Developments: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bookmarkStart w:id="47" w:name="_Hlk196830386"/>
            <w:bookmarkStart w:id="48" w:name="_Hlk196830910"/>
            <w:bookmarkStart w:id="49" w:name="_Hlk196827185"/>
            <w:bookmarkStart w:id="50" w:name="_Hlk204854035"/>
            <w:bookmarkEnd w:id="47"/>
            <w:bookmarkEnd w:id="48"/>
            <w:bookmarkEnd w:id="49"/>
            <w:bookmarkEnd w:id="50"/>
            <w:r>
              <w:rPr>
                <w:rFonts w:ascii="Times New Roman;Times;serif" w:hAnsi="Times New Roman;Times;serif"/>
                <w:b w:val="false"/>
                <w:i/>
                <w:sz w:val="22"/>
              </w:rPr>
              <w:t>The Company reported all-time quarterly record consolidated revenue of $749.0 million, driven by record second quarter same-store Hospitality</w:t>
            </w:r>
            <w:r>
              <w:rPr>
                <w:rFonts w:ascii="Times New Roman;Times;serif" w:hAnsi="Times New Roman;Times;serif"/>
                <w:b w:val="false"/>
                <w:i/>
                <w:sz w:val="17"/>
              </w:rPr>
              <w:t xml:space="preserve">(1) </w:t>
            </w:r>
            <w:r>
              <w:rPr>
                <w:rFonts w:ascii="Times New Roman;Times;serif" w:hAnsi="Times New Roman;Times;serif"/>
                <w:b w:val="false"/>
                <w:i/>
                <w:sz w:val="22"/>
              </w:rPr>
              <w:t xml:space="preserve">segment revenue of $544.3 million and all-time quarterly record Entertainment segment revenue of $144.0 million.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The Company generated consolidated net income of $102.1 million and consolidated Adjusted EBITDAre of $258.3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 xml:space="preserve">During the quarter, the Company booked over 768,000 same-store Hospitality Gross Definite Room Nights for all future periods. The estimated average daily rate (ADR) for these bookings was approximately $310, an increase of 8.6% compared to the prior year quarter estimated ADR for future bookings and an all-time quarterly record.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sz w:val="22"/>
              </w:rPr>
              <w:t>The Company is raising its full year outlook due to strong second quarter performance for the Hospitality portfolio</w:t>
            </w:r>
            <w:bookmarkStart w:id="51" w:name="_Hlk204848905"/>
            <w:bookmarkEnd w:id="51"/>
            <w:r>
              <w:rPr/>
              <w:t xml:space="preserve"> </w:t>
            </w:r>
            <w:r>
              <w:rPr>
                <w:rFonts w:ascii="Times New Roman;Times;serif" w:hAnsi="Times New Roman;Times;serif"/>
                <w:b w:val="false"/>
                <w:i/>
                <w:sz w:val="22"/>
              </w:rPr>
              <w:t>and a modest increase in its expectations for the same-store Hospitality business for the second half of 2026.</w:t>
            </w:r>
          </w:p>
        </w:tc>
      </w:tr>
    </w:tbl>
    <w:p>
      <w:pPr>
        <w:pStyle w:val="TextBody"/>
        <w:bidi w:val="0"/>
        <w:spacing w:lineRule="auto" w:line="429" w:before="0" w:after="0"/>
        <w:ind w:left="720" w:right="0" w:hanging="0"/>
        <w:jc w:val="both"/>
        <w:rPr/>
      </w:pPr>
      <w:r>
        <w:rPr/>
        <w:t>​</w:t>
      </w:r>
    </w:p>
    <w:p>
      <w:pPr>
        <w:pStyle w:val="TextBody"/>
        <w:bidi w:val="0"/>
        <w:spacing w:lineRule="auto" w:line="429" w:before="0" w:after="0"/>
        <w:ind w:left="720" w:right="0" w:hanging="0"/>
        <w:jc w:val="both"/>
        <w:rPr/>
      </w:pPr>
      <w:r>
        <w:rPr/>
        <w:t>​</w:t>
      </w:r>
    </w:p>
    <w:p>
      <w:pPr>
        <w:pStyle w:val="TextBody"/>
        <w:bidi w:val="0"/>
        <w:spacing w:lineRule="auto" w:line="429" w:before="0" w:after="0"/>
        <w:ind w:left="0" w:right="0" w:hanging="0"/>
        <w:jc w:val="both"/>
        <w:rPr>
          <w:rFonts w:ascii="Times New Roman;Times;serif" w:hAnsi="Times New Roman;Times;serif"/>
          <w:sz w:val="22"/>
        </w:rPr>
      </w:pPr>
      <w:r>
        <w:rPr>
          <w:rFonts w:ascii="Times New Roman;Times;serif" w:hAnsi="Times New Roman;Times;serif"/>
          <w:sz w:val="22"/>
        </w:rPr>
        <w:t>Mark Fioravanti, President and Chief Executive Officer of Ryman Hospitality Properties, said, “We delivered record quarterly consolidated revenue and Adjusted EBITDA</w:t>
      </w:r>
      <w:r>
        <w:rPr>
          <w:rFonts w:ascii="Times New Roman;Times;serif" w:hAnsi="Times New Roman;Times;serif"/>
          <w:i/>
          <w:sz w:val="22"/>
        </w:rPr>
        <w:t>re</w:t>
      </w:r>
      <w:r>
        <w:rPr>
          <w:rFonts w:ascii="Times New Roman;Times;serif" w:hAnsi="Times New Roman;Times;serif"/>
          <w:sz w:val="22"/>
        </w:rPr>
        <w:t>, reflecting the continued success of our premium group customer strategy and strong execution in our Entertainment business. In our same-store Hospitality business, higher ADR across all customer segments and strong ancillary spending trends drove results above our expectations, while healthy booking pace and record estimated ADR for future bookings reinforce our confidence in the durability of demand for our differentiated group-focused hotel assets. Our revised outlook incorporates the second quarter outperformance and a modest increase in our expectations for the second half of 2026.”</w:t>
      </w:r>
    </w:p>
    <w:p>
      <w:pPr>
        <w:pStyle w:val="TextBody"/>
        <w:bidi w:val="0"/>
        <w:spacing w:lineRule="auto" w:line="429" w:before="0" w:after="0"/>
        <w:ind w:left="0" w:right="0" w:hanging="0"/>
        <w:jc w:val="both"/>
        <w:rPr/>
      </w:pPr>
      <w:r>
        <w:rPr/>
        <w:t>​</w:t>
      </w:r>
    </w:p>
    <w:p>
      <w:pPr>
        <w:pStyle w:val="TextBody"/>
        <w:bidi w:val="0"/>
        <w:spacing w:lineRule="auto" w:line="429" w:before="0" w:after="0"/>
        <w:ind w:left="0" w:right="0" w:hanging="0"/>
        <w:jc w:val="both"/>
        <w:rPr/>
      </w:pPr>
      <w:r>
        <w:rPr/>
        <w:t>​</w:t>
      </w:r>
    </w:p>
    <w:p>
      <w:pPr>
        <w:pStyle w:val="TextBody"/>
        <w:bidi w:val="0"/>
        <w:spacing w:lineRule="auto" w:line="429" w:before="0" w:after="0"/>
        <w:ind w:left="0" w:right="0" w:hanging="0"/>
        <w:jc w:val="both"/>
        <w:rPr/>
      </w:pPr>
      <w:r>
        <w:rPr/>
        <w:t>​</w:t>
      </w:r>
    </w:p>
    <w:p>
      <w:pPr>
        <w:pStyle w:val="HorizontalLine"/>
        <w:pBdr>
          <w:bottom w:val="single" w:sz="6" w:space="0" w:color="000000"/>
        </w:pBdr>
        <w:bidi w:val="0"/>
        <w:spacing w:before="0" w:after="0"/>
        <w:ind w:left="0" w:right="7654" w:hanging="0"/>
        <w:jc w:val="left"/>
        <w:rPr/>
      </w:pPr>
      <w:r>
        <w:rPr/>
      </w:r>
    </w:p>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Second Quarter 2026 Results (as compared to Second Quarter 2025):</w:t>
      </w:r>
    </w:p>
    <w:tbl>
      <w:tblPr>
        <w:tblW w:w="10205" w:type="dxa"/>
        <w:jc w:val="center"/>
        <w:tblInd w:w="0" w:type="dxa"/>
        <w:tblLayout w:type="fixed"/>
        <w:tblCellMar>
          <w:top w:w="0" w:type="dxa"/>
          <w:left w:w="0" w:type="dxa"/>
          <w:bottom w:w="0" w:type="dxa"/>
          <w:right w:w="0" w:type="dxa"/>
        </w:tblCellMar>
      </w:tblPr>
      <w:tblGrid>
        <w:gridCol w:w="2446"/>
        <w:gridCol w:w="346"/>
        <w:gridCol w:w="196"/>
        <w:gridCol w:w="691"/>
        <w:gridCol w:w="331"/>
        <w:gridCol w:w="109"/>
        <w:gridCol w:w="196"/>
        <w:gridCol w:w="691"/>
        <w:gridCol w:w="331"/>
        <w:gridCol w:w="109"/>
        <w:gridCol w:w="421"/>
        <w:gridCol w:w="301"/>
        <w:gridCol w:w="346"/>
        <w:gridCol w:w="196"/>
        <w:gridCol w:w="826"/>
        <w:gridCol w:w="331"/>
        <w:gridCol w:w="109"/>
        <w:gridCol w:w="196"/>
        <w:gridCol w:w="826"/>
        <w:gridCol w:w="331"/>
        <w:gridCol w:w="109"/>
        <w:gridCol w:w="421"/>
        <w:gridCol w:w="34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553210" cy="175260"/>
                      <wp:effectExtent l="0" t="0" r="0" b="0"/>
                      <wp:wrapNone/>
                      <wp:docPr id="6" name="Frame5"/>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8785" cy="175260"/>
                      <wp:effectExtent l="0" t="0" r="0" b="0"/>
                      <wp:wrapNone/>
                      <wp:docPr id="9" name="Frame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0185" cy="175260"/>
                      <wp:effectExtent l="0" t="0" r="0" b="0"/>
                      <wp:wrapNone/>
                      <wp:docPr id="10" name="Frame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38785" cy="175260"/>
                      <wp:effectExtent l="0" t="0" r="0" b="0"/>
                      <wp:wrapNone/>
                      <wp:docPr id="13" name="Frame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0185" cy="175260"/>
                      <wp:effectExtent l="0" t="0" r="0" b="0"/>
                      <wp:wrapNone/>
                      <wp:docPr id="14" name="Frame1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7335" cy="175260"/>
                      <wp:effectExtent l="0" t="0" r="0" b="0"/>
                      <wp:wrapNone/>
                      <wp:docPr id="16" name="Frame1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91135" cy="175260"/>
                      <wp:effectExtent l="0" t="0" r="0" b="0"/>
                      <wp:wrapNone/>
                      <wp:docPr id="17" name="Frame1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20"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0185" cy="175260"/>
                      <wp:effectExtent l="0" t="0" r="0" b="0"/>
                      <wp:wrapNone/>
                      <wp:docPr id="21" name="Frame2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24510" cy="175260"/>
                      <wp:effectExtent l="0" t="0" r="0" b="0"/>
                      <wp:wrapNone/>
                      <wp:docPr id="24" name="Frame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0185" cy="175260"/>
                      <wp:effectExtent l="0" t="0" r="0" b="0"/>
                      <wp:wrapNone/>
                      <wp:docPr id="25" name="Frame2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67335" cy="175260"/>
                      <wp:effectExtent l="0" t="0" r="0" b="0"/>
                      <wp:wrapNone/>
                      <wp:docPr id="27" name="Frame2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76"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691"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7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69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in thousands, except per share amounts)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2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748,978</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659,515</w:t>
            </w:r>
          </w:p>
        </w:tc>
        <w:tc>
          <w:tcPr>
            <w:tcW w:w="33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1,413,550</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1,246,795</w:t>
            </w:r>
          </w:p>
        </w:tc>
        <w:tc>
          <w:tcPr>
            <w:tcW w:w="33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Operating income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174,545</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139,425</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312,341</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255,546</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margin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102,079</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75,875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171,481</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138,889</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92,750</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71,753</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163,225</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134,714</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available to common stockholders margin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available to common stockholders per diluted share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258,311</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211,856</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477,604</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397,358</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r>
              <w:rPr>
                <w:rFonts w:ascii="Times New Roman;Times;serif" w:hAnsi="Times New Roman;Times;serif"/>
                <w:sz w:val="16"/>
              </w:rPr>
              <w:t xml:space="preserve"> margin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r>
              <w:rPr>
                <w:rFonts w:ascii="Times New Roman;Times;serif" w:hAnsi="Times New Roman;Times;serif"/>
                <w:sz w:val="16"/>
              </w:rPr>
              <w:t>, excluding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241,921</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200,561</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457,057</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380,437</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r>
              <w:rPr>
                <w:rFonts w:ascii="Times New Roman;Times;serif" w:hAnsi="Times New Roman;Times;serif"/>
                <w:sz w:val="16"/>
              </w:rPr>
              <w:t>, excluding noncontrolling interest margin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pts</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Funds From Operations (FFO) available to common stockholders and unit holders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167,229</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137,145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310,701</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260,047</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FFO available to common stockholders and unit holders per diluted share/unit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FFO available to common stockholders and unit 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181,399</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148,845</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337,477</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278,668</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Adjusted FFO available to common stockholders and unit holders per diluted share/unit </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bookmarkStart w:id="52" w:name="_Hlk204613697"/>
            <w:bookmarkEnd w:id="52"/>
            <w:r>
              <w:rPr>
                <w:rFonts w:ascii="Times New Roman;Times;serif" w:hAnsi="Times New Roman;Times;serif"/>
                <w:b w:val="false"/>
                <w:i w:val="false"/>
                <w:caps w:val="false"/>
                <w:smallCaps w:val="false"/>
                <w:sz w:val="16"/>
              </w:rPr>
              <w:t>Diluted weighted average common shares for the three and six months ended June 30, 2026 and 2025 includes the impact of approximately 3.0 million additional shares issued on May 21, 2025. Diluted weighted average common shares for the three months ended June 30, 2026 and 2025 include 4.9 million and 4.2 million, respectively, and for the six months ended June 30, 2026 and 2025 include 4.5 million and 3.7 million, respectively, in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Note: For the Company’s definitions of Adjusted EBITDA</w:t>
      </w:r>
      <w:r>
        <w:rPr>
          <w:rFonts w:ascii="Times New Roman;Times;serif" w:hAnsi="Times New Roman;Times;serif"/>
          <w:i/>
          <w:sz w:val="16"/>
        </w:rPr>
        <w:t>re</w:t>
      </w:r>
      <w:r>
        <w:rPr>
          <w:rFonts w:ascii="Times New Roman;Times;serif" w:hAnsi="Times New Roman;Times;serif"/>
          <w:sz w:val="16"/>
        </w:rPr>
        <w:t>, Adjusted EBITDA</w:t>
      </w:r>
      <w:r>
        <w:rPr>
          <w:rFonts w:ascii="Times New Roman;Times;serif" w:hAnsi="Times New Roman;Times;serif"/>
          <w:i/>
          <w:sz w:val="16"/>
        </w:rPr>
        <w:t>re</w:t>
      </w:r>
      <w:r>
        <w:rPr>
          <w:rFonts w:ascii="Times New Roman;Times;serif" w:hAnsi="Times New Roman;Times;serif"/>
          <w:sz w:val="16"/>
        </w:rPr>
        <w:t xml:space="preserve"> margin, Adjusted EBITDA</w:t>
      </w:r>
      <w:r>
        <w:rPr>
          <w:rFonts w:ascii="Times New Roman;Times;serif" w:hAnsi="Times New Roman;Times;serif"/>
          <w:i/>
          <w:sz w:val="16"/>
        </w:rPr>
        <w:t>re</w:t>
      </w:r>
      <w:r>
        <w:rPr>
          <w:rFonts w:ascii="Times New Roman;Times;serif" w:hAnsi="Times New Roman;Times;serif"/>
          <w:sz w:val="16"/>
        </w:rPr>
        <w:t>, excluding noncontrolling interest, Adjusted EBITDA</w:t>
      </w:r>
      <w:r>
        <w:rPr>
          <w:rFonts w:ascii="Times New Roman;Times;serif" w:hAnsi="Times New Roman;Times;serif"/>
          <w:i/>
          <w:sz w:val="16"/>
        </w:rPr>
        <w:t>re</w:t>
      </w:r>
      <w:r>
        <w:rPr>
          <w:rFonts w:ascii="Times New Roman;Times;serif" w:hAnsi="Times New Roman;Times;serif"/>
          <w:sz w:val="16"/>
        </w:rPr>
        <w:t>, excluding noncontrolling interest margin, FFO available to common stockholders and unit holders, and Adjusted FFO available to common stockholders and unit holders, as well as a reconciliation of the non-GAAP financial measure Adjusted EBITDA</w:t>
      </w:r>
      <w:r>
        <w:rPr>
          <w:rFonts w:ascii="Times New Roman;Times;serif" w:hAnsi="Times New Roman;Times;serif"/>
          <w:i/>
          <w:sz w:val="16"/>
        </w:rPr>
        <w:t>re</w:t>
      </w:r>
      <w:r>
        <w:rPr>
          <w:rFonts w:ascii="Times New Roman;Times;serif" w:hAnsi="Times New Roman;Times;serif"/>
          <w:sz w:val="16"/>
        </w:rPr>
        <w:t xml:space="preserve"> to Net Income and a reconciliation of the non-GAAP financial measures FFO available to common stockholders and unit holders and Adjusted FFO available to common stockholders and unit holders to Net Income, see “Non-GAAP Financial Measures,” “EBITDA</w:t>
      </w:r>
      <w:r>
        <w:rPr>
          <w:rFonts w:ascii="Times New Roman;Times;serif" w:hAnsi="Times New Roman;Times;serif"/>
          <w:i/>
          <w:sz w:val="16"/>
        </w:rPr>
        <w:t>re</w:t>
      </w:r>
      <w:r>
        <w:rPr>
          <w:rFonts w:ascii="Times New Roman;Times;serif" w:hAnsi="Times New Roman;Times;serif"/>
          <w:sz w:val="16"/>
        </w:rPr>
        <w:t>, Adjusted EBITDA</w:t>
      </w:r>
      <w:r>
        <w:rPr>
          <w:rFonts w:ascii="Times New Roman;Times;serif" w:hAnsi="Times New Roman;Times;serif"/>
          <w:i/>
          <w:sz w:val="16"/>
        </w:rPr>
        <w:t>re</w:t>
      </w:r>
      <w:r>
        <w:rPr>
          <w:rFonts w:ascii="Times New Roman;Times;serif" w:hAnsi="Times New Roman;Times;serif"/>
          <w:sz w:val="16"/>
        </w:rPr>
        <w:t xml:space="preserve"> and Adjusted EBITDA</w:t>
      </w:r>
      <w:r>
        <w:rPr>
          <w:rFonts w:ascii="Times New Roman;Times;serif" w:hAnsi="Times New Roman;Times;serif"/>
          <w:i/>
          <w:sz w:val="16"/>
        </w:rPr>
        <w:t>re</w:t>
      </w:r>
      <w:r>
        <w:rPr>
          <w:rFonts w:ascii="Times New Roman;Times;serif" w:hAnsi="Times New Roman;Times;serif"/>
          <w:sz w:val="16"/>
        </w:rPr>
        <w:t>, Excluding Noncontrolling Interest Definition,” “Adjusted EBITDA</w:t>
      </w:r>
      <w:r>
        <w:rPr>
          <w:rFonts w:ascii="Times New Roman;Times;serif" w:hAnsi="Times New Roman;Times;serif"/>
          <w:i/>
          <w:sz w:val="16"/>
        </w:rPr>
        <w:t>re</w:t>
      </w:r>
      <w:r>
        <w:rPr>
          <w:rFonts w:ascii="Times New Roman;Times;serif" w:hAnsi="Times New Roman;Times;serif"/>
          <w:sz w:val="16"/>
        </w:rPr>
        <w:t xml:space="preserve"> Margin and Adjusted EBITDA</w:t>
      </w:r>
      <w:r>
        <w:rPr>
          <w:rFonts w:ascii="Times New Roman;Times;serif" w:hAnsi="Times New Roman;Times;serif"/>
          <w:i/>
          <w:sz w:val="16"/>
        </w:rPr>
        <w:t>re</w:t>
      </w:r>
      <w:r>
        <w:rPr>
          <w:rFonts w:ascii="Times New Roman;Times;serif" w:hAnsi="Times New Roman;Times;serif"/>
          <w:sz w:val="16"/>
        </w:rPr>
        <w:t>, Excluding Noncontrolling Interest Margin Definition” “FFO, Adjusted FFO, and Adjusted FFO Available to Common Stockholders and Unit Holders Definition” and “Supplemental Financial Results”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Hospitality Segment</w:t>
      </w:r>
    </w:p>
    <w:tbl>
      <w:tblPr>
        <w:tblW w:w="10205" w:type="dxa"/>
        <w:jc w:val="left"/>
        <w:tblInd w:w="0" w:type="dxa"/>
        <w:tblLayout w:type="fixed"/>
        <w:tblCellMar>
          <w:top w:w="0" w:type="dxa"/>
          <w:left w:w="0" w:type="dxa"/>
          <w:bottom w:w="0" w:type="dxa"/>
          <w:right w:w="0" w:type="dxa"/>
        </w:tblCellMar>
      </w:tblPr>
      <w:tblGrid>
        <w:gridCol w:w="2048"/>
        <w:gridCol w:w="346"/>
        <w:gridCol w:w="211"/>
        <w:gridCol w:w="781"/>
        <w:gridCol w:w="271"/>
        <w:gridCol w:w="109"/>
        <w:gridCol w:w="211"/>
        <w:gridCol w:w="781"/>
        <w:gridCol w:w="271"/>
        <w:gridCol w:w="109"/>
        <w:gridCol w:w="469"/>
        <w:gridCol w:w="346"/>
        <w:gridCol w:w="346"/>
        <w:gridCol w:w="211"/>
        <w:gridCol w:w="931"/>
        <w:gridCol w:w="271"/>
        <w:gridCol w:w="109"/>
        <w:gridCol w:w="211"/>
        <w:gridCol w:w="931"/>
        <w:gridCol w:w="271"/>
        <w:gridCol w:w="109"/>
        <w:gridCol w:w="469"/>
        <w:gridCol w:w="393"/>
      </w:tblGrid>
      <w:tr>
        <w:trPr/>
        <w:tc>
          <w:tcPr>
            <w:tcW w:w="2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00480" cy="175260"/>
                      <wp:effectExtent l="0" t="0" r="0" b="0"/>
                      <wp:wrapNone/>
                      <wp:docPr id="29" name="Frame28"/>
                      <a:graphic xmlns:a="http://schemas.openxmlformats.org/drawingml/2006/main">
                        <a:graphicData uri="http://schemas.microsoft.com/office/word/2010/wordprocessingShape">
                          <wps:wsp>
                            <wps:cNvSpPr txBox="1"/>
                            <wps:spPr>
                              <a:xfrm>
                                <a:off x="0" y="0"/>
                                <a:ext cx="1300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32" name="Frame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2085" cy="175260"/>
                      <wp:effectExtent l="0" t="0" r="0" b="0"/>
                      <wp:wrapNone/>
                      <wp:docPr id="33" name="Frame3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36" name="Frame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2085" cy="175260"/>
                      <wp:effectExtent l="0" t="0" r="0" b="0"/>
                      <wp:wrapNone/>
                      <wp:docPr id="37" name="Frame3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97815" cy="175260"/>
                      <wp:effectExtent l="0" t="0" r="0" b="0"/>
                      <wp:wrapNone/>
                      <wp:docPr id="39" name="Frame38"/>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91185" cy="175260"/>
                      <wp:effectExtent l="0" t="0" r="0" b="0"/>
                      <wp:wrapNone/>
                      <wp:docPr id="43"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72085" cy="175260"/>
                      <wp:effectExtent l="0" t="0" r="0" b="0"/>
                      <wp:wrapNone/>
                      <wp:docPr id="44" name="Frame4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47" name="Frame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2085" cy="175260"/>
                      <wp:effectExtent l="0" t="0" r="0" b="0"/>
                      <wp:wrapNone/>
                      <wp:docPr id="48" name="Frame4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7815" cy="175260"/>
                      <wp:effectExtent l="0" t="0" r="0" b="0"/>
                      <wp:wrapNone/>
                      <wp:docPr id="50" name="Frame49"/>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49555" cy="175260"/>
                      <wp:effectExtent l="0" t="0" r="0" b="0"/>
                      <wp:wrapNone/>
                      <wp:docPr id="51" name="Frame5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59"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906"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90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0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14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4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048"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Hospitality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604,964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516,211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1,190,353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1,013,941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Same-store Hospitality revenue</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544,315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510,862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1,055,836</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1,008,592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 xml:space="preserve">Hospitality operating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153,643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126,920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298,730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243,729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Hospitality 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Hospitality Adjusted EBITDA</w:t>
            </w:r>
            <w:r>
              <w:rPr>
                <w:rFonts w:ascii="Times New Roman;Times;serif" w:hAnsi="Times New Roman;Times;serif"/>
                <w:i/>
                <w:sz w:val="19"/>
              </w:rPr>
              <w:t>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223,042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186,435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435,612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359,409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Hospitality 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Same-store Hospitality operating income</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141,711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129,503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262,543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246,312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Same-store Hospitality operating income margin</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Same-store Hospitality 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202,278</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187,017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382,534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359,991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Same-store Hospitality 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Hospitality performance metrics: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Average Daily Rate (ADR)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284.05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258.88</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289.42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261.53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206.52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189.77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203.82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187.03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537.69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487.62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531.91</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486.10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Same-store Hospitality performance metrics:</w:t>
            </w:r>
            <w:r>
              <w:rPr>
                <w:rFonts w:ascii="Times New Roman;Times;serif" w:hAnsi="Times New Roman;Times;serif"/>
                <w:sz w:val="18"/>
              </w:rPr>
              <w:t xml:space="preserve"> </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r>
      <w:tr>
        <w:trP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277.19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259.19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277.47</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261.71</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201.67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191.70</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194.91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524.05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491.84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511.07</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488.20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Gross definite room nights booked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768,697</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720,644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1,229,635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1,084,548</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definite room nights booked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589,929</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539,860</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832,198</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745,054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20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Group attrition (as % of contracted block)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0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Cancellations ITYFTY</w:t>
            </w:r>
            <w:r>
              <w:rPr>
                <w:rFonts w:ascii="Times New Roman;Times;serif" w:hAnsi="Times New Roman;Times;serif"/>
                <w:sz w:val="18"/>
              </w:rPr>
              <w:t xml:space="preserve"> </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17,515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17,287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44,679</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40,066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r>
    </w:tbl>
    <w:p>
      <w:pPr>
        <w:pStyle w:val="HorizontalLine"/>
        <w:pBdr>
          <w:bottom w:val="single" w:sz="6" w:space="0" w:color="000000"/>
        </w:pBdr>
        <w:bidi w:val="0"/>
        <w:spacing w:before="0" w:after="0"/>
        <w:ind w:left="0" w:right="7654" w:hanging="0"/>
        <w:jc w:val="left"/>
        <w:rPr/>
      </w:pPr>
      <w:r>
        <w:rPr/>
      </w:r>
    </w:p>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tbl>
      <w:tblPr>
        <w:tblW w:w="3670" w:type="dxa"/>
        <w:jc w:val="left"/>
        <w:tblInd w:w="0" w:type="dxa"/>
        <w:tblLayout w:type="fixed"/>
        <w:tblCellMar>
          <w:top w:w="0" w:type="dxa"/>
          <w:left w:w="0" w:type="dxa"/>
          <w:bottom w:w="0" w:type="dxa"/>
          <w:right w:w="0" w:type="dxa"/>
        </w:tblCellMar>
      </w:tblPr>
      <w:tblGrid>
        <w:gridCol w:w="230"/>
        <w:gridCol w:w="344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44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ITYFTY” represents In The Year For The Year.</w:t>
            </w:r>
          </w:p>
        </w:tc>
      </w:tr>
    </w:tbl>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Note: For the Company’s definitions of Revenue Per Available Room (RevPAR) and Total Revenue Per Available Room (Total RevPAR), see “Calculation of RevPAR and Total RevPAR” below. Property-level results and operating metrics for the applicable period are presented in greater detail below and under “Supplemental Financial Results—Hospitality Segment Adjusted EBITDA</w:t>
      </w:r>
      <w:r>
        <w:rPr>
          <w:rFonts w:ascii="Times New Roman;Times;serif" w:hAnsi="Times New Roman;Times;serif"/>
          <w:i/>
          <w:sz w:val="16"/>
        </w:rPr>
        <w:t>re</w:t>
      </w:r>
      <w:r>
        <w:rPr>
          <w:rFonts w:ascii="Times New Roman;Times;serif" w:hAnsi="Times New Roman;Times;serif"/>
          <w:sz w:val="16"/>
        </w:rPr>
        <w:t xml:space="preserve"> Reconciliation and Operating Metrics,” which includes a reconciliation of the non-GAAP financial measures Hospitality Adjusted EBITDA</w:t>
      </w:r>
      <w:r>
        <w:rPr>
          <w:rFonts w:ascii="Times New Roman;Times;serif" w:hAnsi="Times New Roman;Times;serif"/>
          <w:i/>
          <w:sz w:val="16"/>
        </w:rPr>
        <w:t>re</w:t>
      </w:r>
      <w:r>
        <w:rPr>
          <w:rFonts w:ascii="Times New Roman;Times;serif" w:hAnsi="Times New Roman;Times;serif"/>
          <w:sz w:val="16"/>
        </w:rPr>
        <w:t xml:space="preserve"> to Hospitality Operating Income, and property-level Adjusted EBITDA</w:t>
      </w:r>
      <w:r>
        <w:rPr>
          <w:rFonts w:ascii="Times New Roman;Times;serif" w:hAnsi="Times New Roman;Times;serif"/>
          <w:i/>
          <w:sz w:val="16"/>
        </w:rPr>
        <w:t>re</w:t>
      </w:r>
      <w:r>
        <w:rPr>
          <w:rFonts w:ascii="Times New Roman;Times;serif" w:hAnsi="Times New Roman;Times;serif"/>
          <w:sz w:val="16"/>
        </w:rPr>
        <w:t xml:space="preserve"> to property-level Operating Income for each of the hotel properties.</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Hospitality Segment Highlights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 xml:space="preserve">The same-store Hospitality portfolio generated all-time quarterly record RevPAR of approximately $202 in the second quarter, an increase of 5.2% from the prior year quarter, and record second quarter Total RevPAR of approximately $524, an increase of 6.5% from the prior year quarter.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The same-store Hospitality portfolio generated second quarter operating income of $141.7 million and Adjusted EBITDAre of $202.3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 xml:space="preserve">Second quarter same-store banquet and AV revenue contribution per group room night, a proxy for catering spend per group guest, increased 12.9% year over year, driven by our premium group customer strategy.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Second quarter same-store attrition and cancellation fee revenue was approximately $9.0 million, a decrease of $0.4 million compared to the prior year quarter.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 xml:space="preserve">JW Marriott Desert Ridge performance benefited from continued strong demand and the ongoing realization of portfolio-driven synergies.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sz w:val="22"/>
              </w:rPr>
            </w:pPr>
            <w:r>
              <w:rPr>
                <w:rFonts w:ascii="Times New Roman;Times;serif" w:hAnsi="Times New Roman;Times;serif"/>
                <w:b w:val="false"/>
                <w:i/>
                <w:sz w:val="22"/>
              </w:rPr>
              <w:t xml:space="preserve">Subsequent to quarter-end, Marriott launched the marketing of 2026 ice! holiday programming to be featured across the Gaylord Hotels portfolio, JW Marriott Hill Country and JW Marriott Desert Ridge, including three new themes. Early customer engagement has been encouraging. </w:t>
            </w:r>
          </w:p>
        </w:tc>
      </w:tr>
    </w:tbl>
    <w:p>
      <w:pPr>
        <w:pStyle w:val="TextBody"/>
        <w:bidi w:val="0"/>
        <w:spacing w:lineRule="auto" w:line="429" w:before="0" w:after="0"/>
        <w:ind w:left="360" w:right="0" w:hanging="0"/>
        <w:jc w:val="both"/>
        <w:rPr/>
      </w:pPr>
      <w:r>
        <w:rPr/>
        <w:t>​</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Gaylord Opryland</w:t>
      </w:r>
    </w:p>
    <w:tbl>
      <w:tblPr>
        <w:tblW w:w="10205" w:type="dxa"/>
        <w:jc w:val="center"/>
        <w:tblInd w:w="0" w:type="dxa"/>
        <w:tblLayout w:type="fixed"/>
        <w:tblCellMar>
          <w:top w:w="0" w:type="dxa"/>
          <w:left w:w="0" w:type="dxa"/>
          <w:bottom w:w="0" w:type="dxa"/>
          <w:right w:w="0" w:type="dxa"/>
        </w:tblCellMar>
      </w:tblPr>
      <w:tblGrid>
        <w:gridCol w:w="1994"/>
        <w:gridCol w:w="346"/>
        <w:gridCol w:w="211"/>
        <w:gridCol w:w="781"/>
        <w:gridCol w:w="361"/>
        <w:gridCol w:w="109"/>
        <w:gridCol w:w="211"/>
        <w:gridCol w:w="781"/>
        <w:gridCol w:w="361"/>
        <w:gridCol w:w="109"/>
        <w:gridCol w:w="437"/>
        <w:gridCol w:w="361"/>
        <w:gridCol w:w="346"/>
        <w:gridCol w:w="211"/>
        <w:gridCol w:w="781"/>
        <w:gridCol w:w="361"/>
        <w:gridCol w:w="109"/>
        <w:gridCol w:w="211"/>
        <w:gridCol w:w="781"/>
        <w:gridCol w:w="361"/>
        <w:gridCol w:w="109"/>
        <w:gridCol w:w="466"/>
        <w:gridCol w:w="407"/>
      </w:tblGrid>
      <w:tr>
        <w:trPr/>
        <w:tc>
          <w:tcPr>
            <w:tcW w:w="1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66190" cy="175260"/>
                      <wp:effectExtent l="0" t="0" r="0" b="0"/>
                      <wp:wrapNone/>
                      <wp:docPr id="52" name="Frame51"/>
                      <a:graphic xmlns:a="http://schemas.openxmlformats.org/drawingml/2006/main">
                        <a:graphicData uri="http://schemas.microsoft.com/office/word/2010/wordprocessingShape">
                          <wps:wsp>
                            <wps:cNvSpPr txBox="1"/>
                            <wps:spPr>
                              <a:xfrm>
                                <a:off x="0" y="0"/>
                                <a:ext cx="1266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5935" cy="175260"/>
                      <wp:effectExtent l="0" t="0" r="0" b="0"/>
                      <wp:wrapNone/>
                      <wp:docPr id="55"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9235" cy="175260"/>
                      <wp:effectExtent l="0" t="0" r="0" b="0"/>
                      <wp:wrapNone/>
                      <wp:docPr id="56" name="Frame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9"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9235" cy="175260"/>
                      <wp:effectExtent l="0" t="0" r="0" b="0"/>
                      <wp:wrapNone/>
                      <wp:docPr id="60" name="Frame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77495" cy="175260"/>
                      <wp:effectExtent l="0" t="0" r="0" b="0"/>
                      <wp:wrapNone/>
                      <wp:docPr id="62" name="Frame61"/>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9235" cy="175260"/>
                      <wp:effectExtent l="0" t="0" r="0" b="0"/>
                      <wp:wrapNone/>
                      <wp:docPr id="63" name="Frame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29235" cy="175260"/>
                      <wp:effectExtent l="0" t="0" r="0" b="0"/>
                      <wp:wrapNone/>
                      <wp:docPr id="67" name="Frame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9235" cy="175260"/>
                      <wp:effectExtent l="0" t="0" r="0" b="0"/>
                      <wp:wrapNone/>
                      <wp:docPr id="71" name="Frame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5910" cy="175260"/>
                      <wp:effectExtent l="0" t="0" r="0" b="0"/>
                      <wp:wrapNone/>
                      <wp:docPr id="73" name="Frame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58445" cy="175260"/>
                      <wp:effectExtent l="0" t="0" r="0" b="0"/>
                      <wp:wrapNone/>
                      <wp:docPr id="74" name="Frame73"/>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2"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797"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9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79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99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994"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125,190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116,465</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253,569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226,643</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94"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r>
      <w:tr>
        <w:trPr/>
        <w:tc>
          <w:tcPr>
            <w:tcW w:w="1994"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36,567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35,144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76,389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65,242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94"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1994"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45,956</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43,710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94,472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81,858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94"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1994"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1994"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r>
      <w:tr>
        <w:trPr/>
        <w:tc>
          <w:tcPr>
            <w:tcW w:w="199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199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266.96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246.17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272.09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253.72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9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198.18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185.19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195.89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177.88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9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476.36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443.16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485.09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433.58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Gaylord Palms</w:t>
      </w:r>
    </w:p>
    <w:tbl>
      <w:tblPr>
        <w:tblW w:w="10205" w:type="dxa"/>
        <w:jc w:val="center"/>
        <w:tblInd w:w="0" w:type="dxa"/>
        <w:tblLayout w:type="fixed"/>
        <w:tblCellMar>
          <w:top w:w="0" w:type="dxa"/>
          <w:left w:w="0" w:type="dxa"/>
          <w:bottom w:w="0" w:type="dxa"/>
          <w:right w:w="0" w:type="dxa"/>
        </w:tblCellMar>
      </w:tblPr>
      <w:tblGrid>
        <w:gridCol w:w="2165"/>
        <w:gridCol w:w="346"/>
        <w:gridCol w:w="211"/>
        <w:gridCol w:w="676"/>
        <w:gridCol w:w="361"/>
        <w:gridCol w:w="109"/>
        <w:gridCol w:w="211"/>
        <w:gridCol w:w="676"/>
        <w:gridCol w:w="361"/>
        <w:gridCol w:w="109"/>
        <w:gridCol w:w="471"/>
        <w:gridCol w:w="361"/>
        <w:gridCol w:w="346"/>
        <w:gridCol w:w="211"/>
        <w:gridCol w:w="781"/>
        <w:gridCol w:w="361"/>
        <w:gridCol w:w="109"/>
        <w:gridCol w:w="211"/>
        <w:gridCol w:w="781"/>
        <w:gridCol w:w="361"/>
        <w:gridCol w:w="109"/>
        <w:gridCol w:w="471"/>
        <w:gridCol w:w="407"/>
      </w:tblGrid>
      <w:tr>
        <w:trPr/>
        <w:tc>
          <w:tcPr>
            <w:tcW w:w="2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74775" cy="175260"/>
                      <wp:effectExtent l="0" t="0" r="0" b="0"/>
                      <wp:wrapNone/>
                      <wp:docPr id="75" name="Frame74"/>
                      <a:graphic xmlns:a="http://schemas.openxmlformats.org/drawingml/2006/main">
                        <a:graphicData uri="http://schemas.microsoft.com/office/word/2010/wordprocessingShape">
                          <wps:wsp>
                            <wps:cNvSpPr txBox="1"/>
                            <wps:spPr>
                              <a:xfrm>
                                <a:off x="0" y="0"/>
                                <a:ext cx="1374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235" cy="175260"/>
                      <wp:effectExtent l="0" t="0" r="0" b="0"/>
                      <wp:wrapNone/>
                      <wp:docPr id="79" name="Frame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9260" cy="175260"/>
                      <wp:effectExtent l="0" t="0" r="0" b="0"/>
                      <wp:wrapNone/>
                      <wp:docPr id="82" name="Frame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29235" cy="175260"/>
                      <wp:effectExtent l="0" t="0" r="0" b="0"/>
                      <wp:wrapNone/>
                      <wp:docPr id="83" name="Frame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99085" cy="175260"/>
                      <wp:effectExtent l="0" t="0" r="0" b="0"/>
                      <wp:wrapNone/>
                      <wp:docPr id="85" name="Frame84"/>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9235" cy="175260"/>
                      <wp:effectExtent l="0" t="0" r="0" b="0"/>
                      <wp:wrapNone/>
                      <wp:docPr id="86" name="Frame8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9235" cy="175260"/>
                      <wp:effectExtent l="0" t="0" r="0" b="0"/>
                      <wp:wrapNone/>
                      <wp:docPr id="90" name="Frame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9235" cy="175260"/>
                      <wp:effectExtent l="0" t="0" r="0" b="0"/>
                      <wp:wrapNone/>
                      <wp:docPr id="94" name="Frame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99085" cy="175260"/>
                      <wp:effectExtent l="0" t="0" r="0" b="0"/>
                      <wp:wrapNone/>
                      <wp:docPr id="96" name="Frame95"/>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58445" cy="175260"/>
                      <wp:effectExtent l="0" t="0" r="0" b="0"/>
                      <wp:wrapNone/>
                      <wp:docPr id="97" name="Frame96"/>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6"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802"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802"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6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7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1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88,491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73,113</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186,137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161,506</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65"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21,118</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13,671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50,861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37,453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65"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30,946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23,236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70,420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56,183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65"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pPr>
            <w:r>
              <w:rPr/>
              <w:t>​</w:t>
            </w:r>
          </w:p>
        </w:tc>
        <w:tc>
          <w:tcPr>
            <w:tcW w:w="407" w:type="dxa"/>
            <w:tcBorders/>
            <w:shd w:fill="CCEEFF" w:val="clear"/>
            <w:vAlign w:val="center"/>
          </w:tcPr>
          <w:p>
            <w:pPr>
              <w:pStyle w:val="TableContents"/>
              <w:bidi w:val="0"/>
              <w:spacing w:before="0" w:after="1"/>
              <w:ind w:left="0" w:right="0" w:hanging="0"/>
              <w:jc w:val="left"/>
              <w:rPr/>
            </w:pPr>
            <w:r>
              <w:rPr/>
              <w:t>​</w:t>
            </w:r>
          </w:p>
        </w:tc>
      </w:tr>
      <w:tr>
        <w:trPr/>
        <w:tc>
          <w:tcPr>
            <w:tcW w:w="2165"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165"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65"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270.06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243.35</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285.86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259.34</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65"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202.49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192.00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217.65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200.80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7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65"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566.02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467.66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598.59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519.38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240" w:after="240"/>
        <w:ind w:left="0" w:right="0" w:hanging="0"/>
        <w:jc w:val="both"/>
        <w:rPr>
          <w:rFonts w:ascii="Times New Roman;Times;serif" w:hAnsi="Times New Roman;Times;serif"/>
          <w:b/>
          <w:sz w:val="22"/>
        </w:rPr>
      </w:pPr>
      <w:r>
        <w:rPr>
          <w:rFonts w:ascii="Times New Roman;Times;serif" w:hAnsi="Times New Roman;Times;serif"/>
          <w:b/>
          <w:sz w:val="22"/>
        </w:rPr>
        <w:t>Gaylord Texan</w:t>
      </w:r>
    </w:p>
    <w:tbl>
      <w:tblPr>
        <w:tblW w:w="10205" w:type="dxa"/>
        <w:jc w:val="center"/>
        <w:tblInd w:w="0" w:type="dxa"/>
        <w:tblLayout w:type="fixed"/>
        <w:tblCellMar>
          <w:top w:w="0" w:type="dxa"/>
          <w:left w:w="0" w:type="dxa"/>
          <w:bottom w:w="0" w:type="dxa"/>
          <w:right w:w="0" w:type="dxa"/>
        </w:tblCellMar>
      </w:tblPr>
      <w:tblGrid>
        <w:gridCol w:w="2122"/>
        <w:gridCol w:w="346"/>
        <w:gridCol w:w="211"/>
        <w:gridCol w:w="676"/>
        <w:gridCol w:w="361"/>
        <w:gridCol w:w="109"/>
        <w:gridCol w:w="211"/>
        <w:gridCol w:w="676"/>
        <w:gridCol w:w="361"/>
        <w:gridCol w:w="109"/>
        <w:gridCol w:w="440"/>
        <w:gridCol w:w="361"/>
        <w:gridCol w:w="346"/>
        <w:gridCol w:w="211"/>
        <w:gridCol w:w="781"/>
        <w:gridCol w:w="361"/>
        <w:gridCol w:w="109"/>
        <w:gridCol w:w="211"/>
        <w:gridCol w:w="781"/>
        <w:gridCol w:w="361"/>
        <w:gridCol w:w="109"/>
        <w:gridCol w:w="545"/>
        <w:gridCol w:w="407"/>
      </w:tblGrid>
      <w:tr>
        <w:trPr/>
        <w:tc>
          <w:tcPr>
            <w:tcW w:w="2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47470" cy="175260"/>
                      <wp:effectExtent l="0" t="0" r="0" b="0"/>
                      <wp:wrapNone/>
                      <wp:docPr id="98" name="Frame97"/>
                      <a:graphic xmlns:a="http://schemas.openxmlformats.org/drawingml/2006/main">
                        <a:graphicData uri="http://schemas.microsoft.com/office/word/2010/wordprocessingShape">
                          <wps:wsp>
                            <wps:cNvSpPr txBox="1"/>
                            <wps:spPr>
                              <a:xfrm>
                                <a:off x="0" y="0"/>
                                <a:ext cx="134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9235" cy="175260"/>
                      <wp:effectExtent l="0" t="0" r="0" b="0"/>
                      <wp:wrapNone/>
                      <wp:docPr id="102" name="Frame1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105"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9235" cy="175260"/>
                      <wp:effectExtent l="0" t="0" r="0" b="0"/>
                      <wp:wrapNone/>
                      <wp:docPr id="106" name="Frame10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79400" cy="175260"/>
                      <wp:effectExtent l="0" t="0" r="0" b="0"/>
                      <wp:wrapNone/>
                      <wp:docPr id="108" name="Frame107"/>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29235" cy="175260"/>
                      <wp:effectExtent l="0" t="0" r="0" b="0"/>
                      <wp:wrapNone/>
                      <wp:docPr id="109" name="Frame1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935" cy="175260"/>
                      <wp:effectExtent l="0" t="0" r="0" b="0"/>
                      <wp:wrapNone/>
                      <wp:docPr id="112"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9235" cy="175260"/>
                      <wp:effectExtent l="0" t="0" r="0" b="0"/>
                      <wp:wrapNone/>
                      <wp:docPr id="113" name="Frame1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9235" cy="175260"/>
                      <wp:effectExtent l="0" t="0" r="0" b="0"/>
                      <wp:wrapNone/>
                      <wp:docPr id="117" name="Frame1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46075" cy="175260"/>
                      <wp:effectExtent l="0" t="0" r="0" b="0"/>
                      <wp:wrapNone/>
                      <wp:docPr id="119" name="Frame118"/>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58445" cy="175260"/>
                      <wp:effectExtent l="0" t="0" r="0" b="0"/>
                      <wp:wrapNone/>
                      <wp:docPr id="120" name="Frame11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5"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876"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87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1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122"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82,259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82,494</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165,630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168,871</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122"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23,528</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25,002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47,333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52,697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2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31,209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31,159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62,339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64,783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22"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pPr>
            <w:r>
              <w:rPr/>
              <w:t>​</w:t>
            </w:r>
          </w:p>
        </w:tc>
        <w:tc>
          <w:tcPr>
            <w:tcW w:w="407" w:type="dxa"/>
            <w:tcBorders/>
            <w:shd w:fill="CCEEFF" w:val="clear"/>
            <w:vAlign w:val="center"/>
          </w:tcPr>
          <w:p>
            <w:pPr>
              <w:pStyle w:val="TableContents"/>
              <w:bidi w:val="0"/>
              <w:spacing w:before="0" w:after="1"/>
              <w:ind w:left="0" w:right="0" w:hanging="0"/>
              <w:jc w:val="left"/>
              <w:rPr/>
            </w:pPr>
            <w:r>
              <w:rPr/>
              <w:t>​</w:t>
            </w:r>
          </w:p>
        </w:tc>
      </w:tr>
      <w:tr>
        <w:trPr/>
        <w:tc>
          <w:tcPr>
            <w:tcW w:w="2122"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122"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22"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268.51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253.06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266.01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255.16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187.60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182.32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179.96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185.04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498.32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499.74</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504.46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514.33</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240" w:after="240"/>
        <w:ind w:left="0" w:right="0" w:hanging="0"/>
        <w:jc w:val="both"/>
        <w:rPr>
          <w:rFonts w:ascii="Times New Roman;Times;serif" w:hAnsi="Times New Roman;Times;serif"/>
          <w:b/>
          <w:sz w:val="22"/>
        </w:rPr>
      </w:pPr>
      <w:r>
        <w:rPr>
          <w:rFonts w:ascii="Times New Roman;Times;serif" w:hAnsi="Times New Roman;Times;serif"/>
          <w:b/>
          <w:sz w:val="22"/>
        </w:rPr>
        <w:t>Gaylord National</w:t>
      </w:r>
    </w:p>
    <w:tbl>
      <w:tblPr>
        <w:tblW w:w="10205" w:type="dxa"/>
        <w:jc w:val="center"/>
        <w:tblInd w:w="0" w:type="dxa"/>
        <w:tblLayout w:type="fixed"/>
        <w:tblCellMar>
          <w:top w:w="0" w:type="dxa"/>
          <w:left w:w="0" w:type="dxa"/>
          <w:bottom w:w="0" w:type="dxa"/>
          <w:right w:w="0" w:type="dxa"/>
        </w:tblCellMar>
      </w:tblPr>
      <w:tblGrid>
        <w:gridCol w:w="2200"/>
        <w:gridCol w:w="346"/>
        <w:gridCol w:w="211"/>
        <w:gridCol w:w="676"/>
        <w:gridCol w:w="361"/>
        <w:gridCol w:w="109"/>
        <w:gridCol w:w="211"/>
        <w:gridCol w:w="676"/>
        <w:gridCol w:w="361"/>
        <w:gridCol w:w="109"/>
        <w:gridCol w:w="466"/>
        <w:gridCol w:w="361"/>
        <w:gridCol w:w="346"/>
        <w:gridCol w:w="211"/>
        <w:gridCol w:w="781"/>
        <w:gridCol w:w="361"/>
        <w:gridCol w:w="109"/>
        <w:gridCol w:w="211"/>
        <w:gridCol w:w="781"/>
        <w:gridCol w:w="361"/>
        <w:gridCol w:w="109"/>
        <w:gridCol w:w="441"/>
        <w:gridCol w:w="407"/>
      </w:tblGrid>
      <w:tr>
        <w:trPr/>
        <w:tc>
          <w:tcPr>
            <w:tcW w:w="2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97000" cy="175260"/>
                      <wp:effectExtent l="0" t="0" r="0" b="0"/>
                      <wp:wrapNone/>
                      <wp:docPr id="121" name="Frame120"/>
                      <a:graphic xmlns:a="http://schemas.openxmlformats.org/drawingml/2006/main">
                        <a:graphicData uri="http://schemas.microsoft.com/office/word/2010/wordprocessingShape">
                          <wps:wsp>
                            <wps:cNvSpPr txBox="1"/>
                            <wps:spPr>
                              <a:xfrm>
                                <a:off x="0" y="0"/>
                                <a:ext cx="139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9235" cy="175260"/>
                      <wp:effectExtent l="0" t="0" r="0" b="0"/>
                      <wp:wrapNone/>
                      <wp:docPr id="125" name="Frame1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9235" cy="175260"/>
                      <wp:effectExtent l="0" t="0" r="0" b="0"/>
                      <wp:wrapNone/>
                      <wp:docPr id="129" name="Frame1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95910" cy="175260"/>
                      <wp:effectExtent l="0" t="0" r="0" b="0"/>
                      <wp:wrapNone/>
                      <wp:docPr id="131" name="Frame13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29235" cy="175260"/>
                      <wp:effectExtent l="0" t="0" r="0" b="0"/>
                      <wp:wrapNone/>
                      <wp:docPr id="132" name="Frame1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5"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136" name="Frame1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5935" cy="175260"/>
                      <wp:effectExtent l="0" t="0" r="0" b="0"/>
                      <wp:wrapNone/>
                      <wp:docPr id="139"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9235" cy="175260"/>
                      <wp:effectExtent l="0" t="0" r="0" b="0"/>
                      <wp:wrapNone/>
                      <wp:docPr id="140" name="Frame1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80035" cy="175260"/>
                      <wp:effectExtent l="0" t="0" r="0" b="0"/>
                      <wp:wrapNone/>
                      <wp:docPr id="142" name="Frame141"/>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8445" cy="175260"/>
                      <wp:effectExtent l="0" t="0" r="0" b="0"/>
                      <wp:wrapNone/>
                      <wp:docPr id="143" name="Frame142"/>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1"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772"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2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1"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772"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0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2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200"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90,422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83,413</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164,649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164,242</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200"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200"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19,550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15,818</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25,775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25,292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200"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200"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29,063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25,420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44,805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44,451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200"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200"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right"/>
              <w:rPr/>
            </w:pPr>
            <w:r>
              <w:rPr/>
              <w:t>​</w:t>
            </w:r>
          </w:p>
        </w:tc>
        <w:tc>
          <w:tcPr>
            <w:tcW w:w="407" w:type="dxa"/>
            <w:tcBorders/>
            <w:shd w:fill="CCEEFF" w:val="clear"/>
            <w:vAlign w:val="center"/>
          </w:tcPr>
          <w:p>
            <w:pPr>
              <w:pStyle w:val="TableContents"/>
              <w:bidi w:val="0"/>
              <w:spacing w:before="0" w:after="1"/>
              <w:ind w:left="0" w:right="0" w:hanging="0"/>
              <w:jc w:val="left"/>
              <w:rPr/>
            </w:pPr>
            <w:r>
              <w:rPr/>
              <w:t>​</w:t>
            </w:r>
          </w:p>
        </w:tc>
      </w:tr>
      <w:tr>
        <w:trPr/>
        <w:tc>
          <w:tcPr>
            <w:tcW w:w="2200"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200"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20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280.70</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263.97</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274.10</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256.29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200"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200.10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178.85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184.16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179.59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20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497.82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459.23</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455.74</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454.62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0.2</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Gaylord Rockies</w:t>
      </w:r>
    </w:p>
    <w:tbl>
      <w:tblPr>
        <w:tblW w:w="10205" w:type="dxa"/>
        <w:jc w:val="center"/>
        <w:tblInd w:w="0" w:type="dxa"/>
        <w:tblLayout w:type="fixed"/>
        <w:tblCellMar>
          <w:top w:w="0" w:type="dxa"/>
          <w:left w:w="0" w:type="dxa"/>
          <w:bottom w:w="0" w:type="dxa"/>
          <w:right w:w="0" w:type="dxa"/>
        </w:tblCellMar>
      </w:tblPr>
      <w:tblGrid>
        <w:gridCol w:w="2303"/>
        <w:gridCol w:w="346"/>
        <w:gridCol w:w="211"/>
        <w:gridCol w:w="676"/>
        <w:gridCol w:w="361"/>
        <w:gridCol w:w="109"/>
        <w:gridCol w:w="211"/>
        <w:gridCol w:w="676"/>
        <w:gridCol w:w="361"/>
        <w:gridCol w:w="109"/>
        <w:gridCol w:w="443"/>
        <w:gridCol w:w="361"/>
        <w:gridCol w:w="346"/>
        <w:gridCol w:w="211"/>
        <w:gridCol w:w="781"/>
        <w:gridCol w:w="361"/>
        <w:gridCol w:w="109"/>
        <w:gridCol w:w="211"/>
        <w:gridCol w:w="781"/>
        <w:gridCol w:w="361"/>
        <w:gridCol w:w="109"/>
        <w:gridCol w:w="361"/>
        <w:gridCol w:w="407"/>
      </w:tblGrid>
      <w:tr>
        <w:trPr/>
        <w:tc>
          <w:tcPr>
            <w:tcW w:w="2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62405" cy="175260"/>
                      <wp:effectExtent l="0" t="0" r="0" b="0"/>
                      <wp:wrapNone/>
                      <wp:docPr id="144" name="Frame143"/>
                      <a:graphic xmlns:a="http://schemas.openxmlformats.org/drawingml/2006/main">
                        <a:graphicData uri="http://schemas.microsoft.com/office/word/2010/wordprocessingShape">
                          <wps:wsp>
                            <wps:cNvSpPr txBox="1"/>
                            <wps:spPr>
                              <a:xfrm>
                                <a:off x="0" y="0"/>
                                <a:ext cx="146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7"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29235" cy="175260"/>
                      <wp:effectExtent l="0" t="0" r="0" b="0"/>
                      <wp:wrapNone/>
                      <wp:docPr id="148" name="Frame1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9235" cy="175260"/>
                      <wp:effectExtent l="0" t="0" r="0" b="0"/>
                      <wp:wrapNone/>
                      <wp:docPr id="152" name="Frame1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81305" cy="175260"/>
                      <wp:effectExtent l="0" t="0" r="0" b="0"/>
                      <wp:wrapNone/>
                      <wp:docPr id="154" name="Frame153"/>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235" cy="175260"/>
                      <wp:effectExtent l="0" t="0" r="0" b="0"/>
                      <wp:wrapNone/>
                      <wp:docPr id="155"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58" name="Frame1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9235" cy="175260"/>
                      <wp:effectExtent l="0" t="0" r="0" b="0"/>
                      <wp:wrapNone/>
                      <wp:docPr id="159" name="Frame1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62"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9235" cy="175260"/>
                      <wp:effectExtent l="0" t="0" r="0" b="0"/>
                      <wp:wrapNone/>
                      <wp:docPr id="163" name="Frame1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9235" cy="175260"/>
                      <wp:effectExtent l="0" t="0" r="0" b="0"/>
                      <wp:wrapNone/>
                      <wp:docPr id="165" name="Frame1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8445" cy="175260"/>
                      <wp:effectExtent l="0" t="0" r="0" b="0"/>
                      <wp:wrapNone/>
                      <wp:docPr id="166" name="Frame165"/>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8"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692"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3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8"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692"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0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3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303"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84,735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81,722</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156,984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152,670</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303"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303"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23,792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21,798</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38,237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36,621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303"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303"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38,933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36,695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68,566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66,370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303"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303"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407" w:type="dxa"/>
            <w:tcBorders/>
            <w:shd w:fill="CCEEFF" w:val="clear"/>
            <w:vAlign w:val="center"/>
          </w:tcPr>
          <w:p>
            <w:pPr>
              <w:pStyle w:val="TableContents"/>
              <w:bidi w:val="0"/>
              <w:spacing w:before="0" w:after="1"/>
              <w:ind w:left="0" w:right="0" w:hanging="0"/>
              <w:jc w:val="left"/>
              <w:rPr/>
            </w:pPr>
            <w:r>
              <w:rPr/>
              <w:t>​</w:t>
            </w:r>
          </w:p>
        </w:tc>
      </w:tr>
      <w:tr>
        <w:trPr/>
        <w:tc>
          <w:tcPr>
            <w:tcW w:w="2303"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30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76.3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30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275.43</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259.78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267.28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258.52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30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218.64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208.62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206.93</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197.21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30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620.35</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598.29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577.82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561.94</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240" w:after="240"/>
        <w:ind w:left="0" w:right="0" w:hanging="0"/>
        <w:jc w:val="both"/>
        <w:rPr>
          <w:rFonts w:ascii="Times New Roman;Times;serif" w:hAnsi="Times New Roman;Times;serif"/>
          <w:b/>
          <w:sz w:val="22"/>
        </w:rPr>
      </w:pPr>
      <w:r>
        <w:rPr>
          <w:rFonts w:ascii="Times New Roman;Times;serif" w:hAnsi="Times New Roman;Times;serif"/>
          <w:b/>
          <w:sz w:val="22"/>
        </w:rPr>
        <w:t>JW Marriott Hill Country</w:t>
      </w:r>
    </w:p>
    <w:tbl>
      <w:tblPr>
        <w:tblW w:w="10205" w:type="dxa"/>
        <w:jc w:val="center"/>
        <w:tblInd w:w="0" w:type="dxa"/>
        <w:tblLayout w:type="fixed"/>
        <w:tblCellMar>
          <w:top w:w="0" w:type="dxa"/>
          <w:left w:w="0" w:type="dxa"/>
          <w:bottom w:w="0" w:type="dxa"/>
          <w:right w:w="0" w:type="dxa"/>
        </w:tblCellMar>
      </w:tblPr>
      <w:tblGrid>
        <w:gridCol w:w="2122"/>
        <w:gridCol w:w="346"/>
        <w:gridCol w:w="211"/>
        <w:gridCol w:w="676"/>
        <w:gridCol w:w="361"/>
        <w:gridCol w:w="109"/>
        <w:gridCol w:w="211"/>
        <w:gridCol w:w="676"/>
        <w:gridCol w:w="361"/>
        <w:gridCol w:w="109"/>
        <w:gridCol w:w="440"/>
        <w:gridCol w:w="361"/>
        <w:gridCol w:w="346"/>
        <w:gridCol w:w="211"/>
        <w:gridCol w:w="781"/>
        <w:gridCol w:w="361"/>
        <w:gridCol w:w="109"/>
        <w:gridCol w:w="211"/>
        <w:gridCol w:w="781"/>
        <w:gridCol w:w="361"/>
        <w:gridCol w:w="109"/>
        <w:gridCol w:w="545"/>
        <w:gridCol w:w="407"/>
      </w:tblGrid>
      <w:tr>
        <w:trPr/>
        <w:tc>
          <w:tcPr>
            <w:tcW w:w="2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47470" cy="175260"/>
                      <wp:effectExtent l="0" t="0" r="0" b="0"/>
                      <wp:wrapNone/>
                      <wp:docPr id="167" name="Frame166"/>
                      <a:graphic xmlns:a="http://schemas.openxmlformats.org/drawingml/2006/main">
                        <a:graphicData uri="http://schemas.microsoft.com/office/word/2010/wordprocessingShape">
                          <wps:wsp>
                            <wps:cNvSpPr txBox="1"/>
                            <wps:spPr>
                              <a:xfrm>
                                <a:off x="0" y="0"/>
                                <a:ext cx="1347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235" cy="175260"/>
                      <wp:effectExtent l="0" t="0" r="0" b="0"/>
                      <wp:wrapNone/>
                      <wp:docPr id="171"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9235" cy="175260"/>
                      <wp:effectExtent l="0" t="0" r="0" b="0"/>
                      <wp:wrapNone/>
                      <wp:docPr id="175" name="Frame1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79400" cy="175260"/>
                      <wp:effectExtent l="0" t="0" r="0" b="0"/>
                      <wp:wrapNone/>
                      <wp:docPr id="177" name="Frame176"/>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9235" cy="175260"/>
                      <wp:effectExtent l="0" t="0" r="0" b="0"/>
                      <wp:wrapNone/>
                      <wp:docPr id="178" name="Frame1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2" name="Frame1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5"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9235" cy="175260"/>
                      <wp:effectExtent l="0" t="0" r="0" b="0"/>
                      <wp:wrapNone/>
                      <wp:docPr id="186" name="Frame18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46075" cy="175260"/>
                      <wp:effectExtent l="0" t="0" r="0" b="0"/>
                      <wp:wrapNone/>
                      <wp:docPr id="188" name="Frame187"/>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8445" cy="175260"/>
                      <wp:effectExtent l="0" t="0" r="0" b="0"/>
                      <wp:wrapNone/>
                      <wp:docPr id="189" name="Frame188"/>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5"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3876"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1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87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2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1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2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8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9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122"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65,762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66,573</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116,057</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121,849</w:t>
            </w:r>
          </w:p>
        </w:tc>
        <w:tc>
          <w:tcPr>
            <w:tcW w:w="36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both"/>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122" w:type="dxa"/>
            <w:tcBorders/>
            <w:shd w:fill="CCEEFF" w:val="clear"/>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15,982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23,190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22"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24,175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39,545</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43,849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22" w:type="dxa"/>
            <w:tcBorders/>
            <w:shd w:fill="CCEEFF" w:val="clear"/>
            <w:vAlign w:val="center"/>
          </w:tcPr>
          <w:p>
            <w:pPr>
              <w:pStyle w:val="TableContents"/>
              <w:bidi w:val="0"/>
              <w:spacing w:before="0" w:after="1"/>
              <w:ind w:left="0" w:right="0" w:hanging="0"/>
              <w:jc w:val="both"/>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pPr>
            <w:r>
              <w:rPr/>
              <w:t>​</w:t>
            </w:r>
          </w:p>
        </w:tc>
        <w:tc>
          <w:tcPr>
            <w:tcW w:w="407" w:type="dxa"/>
            <w:tcBorders/>
            <w:shd w:fill="CCEEFF" w:val="clear"/>
            <w:vAlign w:val="center"/>
          </w:tcPr>
          <w:p>
            <w:pPr>
              <w:pStyle w:val="TableContents"/>
              <w:bidi w:val="0"/>
              <w:spacing w:before="0" w:after="1"/>
              <w:ind w:left="0" w:right="0" w:hanging="0"/>
              <w:jc w:val="left"/>
              <w:rPr/>
            </w:pPr>
            <w:r>
              <w:rPr/>
              <w:t>​</w:t>
            </w:r>
          </w:p>
        </w:tc>
      </w:tr>
      <w:tr>
        <w:trPr/>
        <w:tc>
          <w:tcPr>
            <w:tcW w:w="2122" w:type="dxa"/>
            <w:tcBorders/>
            <w:vAlign w:val="center"/>
          </w:tcPr>
          <w:p>
            <w:pPr>
              <w:pStyle w:val="TableContents"/>
              <w:bidi w:val="0"/>
              <w:spacing w:before="0" w:after="1"/>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pPr>
            <w:r>
              <w:rPr/>
              <w:t>​</w:t>
            </w:r>
          </w:p>
        </w:tc>
        <w:tc>
          <w:tcPr>
            <w:tcW w:w="407" w:type="dxa"/>
            <w:tcBorders/>
            <w:vAlign w:val="center"/>
          </w:tcPr>
          <w:p>
            <w:pPr>
              <w:pStyle w:val="TableContents"/>
              <w:bidi w:val="0"/>
              <w:spacing w:before="0" w:after="1"/>
              <w:ind w:left="0" w:right="0" w:hanging="0"/>
              <w:jc w:val="left"/>
              <w:rPr/>
            </w:pPr>
            <w:r>
              <w:rPr/>
              <w:t>​</w:t>
            </w:r>
          </w:p>
        </w:tc>
      </w:tr>
      <w:tr>
        <w:trPr/>
        <w:tc>
          <w:tcPr>
            <w:tcW w:w="2122"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75.6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2122"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344.31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342.79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341.31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332.79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244.21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259.31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221.24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238.96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w:t>
            </w:r>
          </w:p>
        </w:tc>
        <w:tc>
          <w:tcPr>
            <w:tcW w:w="40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2122"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721.22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730.11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639.92</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671.85</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w:t>
            </w:r>
          </w:p>
        </w:tc>
        <w:tc>
          <w:tcPr>
            <w:tcW w:w="40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240" w:after="240"/>
        <w:ind w:left="0" w:right="0" w:hanging="0"/>
        <w:jc w:val="both"/>
        <w:rPr/>
      </w:pPr>
      <w:r>
        <w:rPr>
          <w:rFonts w:ascii="Times New Roman;Times;serif" w:hAnsi="Times New Roman;Times;serif"/>
          <w:b/>
          <w:sz w:val="22"/>
        </w:rPr>
        <w:t>JW Marriott Desert Ridge</w:t>
      </w:r>
      <w:r>
        <w:rPr>
          <w:rFonts w:ascii="Times New Roman;Times;serif" w:hAnsi="Times New Roman;Times;serif"/>
          <w:b/>
          <w:sz w:val="17"/>
        </w:rPr>
        <w:t>(</w:t>
      </w:r>
      <w:hyperlink w:anchor="footnote-2">
        <w:r>
          <w:rPr>
            <w:rStyle w:val="InternetLink"/>
            <w:rFonts w:ascii="Times New Roman;Times;serif" w:hAnsi="Times New Roman;Times;serif"/>
            <w:b/>
            <w:sz w:val="17"/>
          </w:rPr>
          <w:t>1</w:t>
        </w:r>
      </w:hyperlink>
      <w:r>
        <w:rPr>
          <w:rFonts w:ascii="Times New Roman;Times;serif" w:hAnsi="Times New Roman;Times;serif"/>
          <w:b/>
          <w:sz w:val="17"/>
        </w:rPr>
        <w:t>)</w:t>
      </w:r>
    </w:p>
    <w:tbl>
      <w:tblPr>
        <w:tblW w:w="9445" w:type="dxa"/>
        <w:jc w:val="left"/>
        <w:tblInd w:w="0" w:type="dxa"/>
        <w:tblLayout w:type="fixed"/>
        <w:tblCellMar>
          <w:top w:w="0" w:type="dxa"/>
          <w:left w:w="0" w:type="dxa"/>
          <w:bottom w:w="0" w:type="dxa"/>
          <w:right w:w="0" w:type="dxa"/>
        </w:tblCellMar>
      </w:tblPr>
      <w:tblGrid>
        <w:gridCol w:w="4231"/>
        <w:gridCol w:w="346"/>
        <w:gridCol w:w="279"/>
        <w:gridCol w:w="894"/>
        <w:gridCol w:w="477"/>
        <w:gridCol w:w="346"/>
        <w:gridCol w:w="227"/>
        <w:gridCol w:w="840"/>
        <w:gridCol w:w="388"/>
        <w:gridCol w:w="109"/>
        <w:gridCol w:w="211"/>
        <w:gridCol w:w="691"/>
        <w:gridCol w:w="4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686685" cy="175260"/>
                      <wp:effectExtent l="0" t="0" r="0" b="0"/>
                      <wp:wrapNone/>
                      <wp:docPr id="190" name="Frame189"/>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7165" cy="175260"/>
                      <wp:effectExtent l="0" t="0" r="0" b="0"/>
                      <wp:wrapNone/>
                      <wp:docPr id="192" name="Frame19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67690" cy="175260"/>
                      <wp:effectExtent l="0" t="0" r="0" b="0"/>
                      <wp:wrapNone/>
                      <wp:docPr id="193" name="Frame192"/>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02895" cy="175260"/>
                      <wp:effectExtent l="0" t="0" r="0" b="0"/>
                      <wp:wrapNone/>
                      <wp:docPr id="194" name="Frame193"/>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4145" cy="175260"/>
                      <wp:effectExtent l="0" t="0" r="0" b="0"/>
                      <wp:wrapNone/>
                      <wp:docPr id="196" name="Frame19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33400" cy="175260"/>
                      <wp:effectExtent l="0" t="0" r="0" b="0"/>
                      <wp:wrapNone/>
                      <wp:docPr id="197" name="Frame19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46380" cy="175260"/>
                      <wp:effectExtent l="0" t="0" r="0" b="0"/>
                      <wp:wrapNone/>
                      <wp:docPr id="198" name="Frame19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7810" cy="175260"/>
                      <wp:effectExtent l="0" t="0" r="0" b="0"/>
                      <wp:wrapNone/>
                      <wp:docPr id="202" name="Frame20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45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left"/>
              <w:rPr/>
            </w:pPr>
            <w:r>
              <w:rPr/>
              <w:t>​</w:t>
            </w:r>
          </w:p>
        </w:tc>
        <w:tc>
          <w:tcPr>
            <w:tcW w:w="130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Ended</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4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3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in thousands, except ADR, RevPAR, and Total RevPAR)</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894" w:type="dxa"/>
            <w:tcBorders/>
            <w:vAlign w:val="center"/>
          </w:tcPr>
          <w:p>
            <w:pPr>
              <w:pStyle w:val="TableContents"/>
              <w:bidi w:val="0"/>
              <w:spacing w:before="0" w:after="0"/>
              <w:ind w:left="0" w:right="0" w:hanging="0"/>
              <w:jc w:val="center"/>
              <w:rPr/>
            </w:pPr>
            <w:r>
              <w:rPr/>
              <w:t>​</w:t>
            </w:r>
          </w:p>
        </w:tc>
        <w:tc>
          <w:tcPr>
            <w:tcW w:w="4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center"/>
              <w:rPr/>
            </w:pPr>
            <w:r>
              <w:rPr/>
              <w:t>​</w:t>
            </w:r>
          </w:p>
        </w:tc>
        <w:tc>
          <w:tcPr>
            <w:tcW w:w="38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5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4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60,649</w:t>
            </w:r>
          </w:p>
        </w:tc>
        <w:tc>
          <w:tcPr>
            <w:tcW w:w="4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134,517</w:t>
            </w:r>
          </w:p>
        </w:tc>
        <w:tc>
          <w:tcPr>
            <w:tcW w:w="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pPr>
            <w:r>
              <w:rPr/>
              <w:t>​</w:t>
            </w:r>
          </w:p>
        </w:tc>
        <w:tc>
          <w:tcPr>
            <w:tcW w:w="4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11,932</w:t>
            </w:r>
          </w:p>
        </w:tc>
        <w:tc>
          <w:tcPr>
            <w:tcW w:w="4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36,187</w:t>
            </w:r>
          </w:p>
        </w:tc>
        <w:tc>
          <w:tcPr>
            <w:tcW w:w="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Operating income (loss) margin</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4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8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423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20,764</w:t>
            </w:r>
          </w:p>
        </w:tc>
        <w:tc>
          <w:tcPr>
            <w:tcW w:w="4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53,078</w:t>
            </w:r>
          </w:p>
        </w:tc>
        <w:tc>
          <w:tcPr>
            <w:tcW w:w="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47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8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4231" w:type="dxa"/>
            <w:tcBorders/>
            <w:shd w:fill="CCEEFF" w:val="clear"/>
            <w:vAlign w:val="center"/>
          </w:tcPr>
          <w:p>
            <w:pPr>
              <w:pStyle w:val="TableContents"/>
              <w:bidi w:val="0"/>
              <w:spacing w:before="0" w:after="0"/>
              <w:ind w:left="0" w:right="0" w:hanging="0"/>
              <w:jc w:val="both"/>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Performance metrics:</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pPr>
            <w:r>
              <w:rPr/>
              <w:t>  ​</w:t>
            </w:r>
          </w:p>
        </w:tc>
        <w:tc>
          <w:tcPr>
            <w:tcW w:w="4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Occupancy</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72.2</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72.6</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ADR</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367.08</w:t>
            </w:r>
          </w:p>
        </w:tc>
        <w:tc>
          <w:tcPr>
            <w:tcW w:w="4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428.43</w:t>
            </w:r>
          </w:p>
        </w:tc>
        <w:tc>
          <w:tcPr>
            <w:tcW w:w="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228.50</w:t>
            </w:r>
          </w:p>
        </w:tc>
        <w:tc>
          <w:tcPr>
            <w:tcW w:w="4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RevPAR</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264.85</w:t>
            </w:r>
          </w:p>
        </w:tc>
        <w:tc>
          <w:tcPr>
            <w:tcW w:w="47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310.88</w:t>
            </w:r>
          </w:p>
        </w:tc>
        <w:tc>
          <w:tcPr>
            <w:tcW w:w="3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89.76</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RevPAR</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701.55</w:t>
            </w:r>
          </w:p>
        </w:tc>
        <w:tc>
          <w:tcPr>
            <w:tcW w:w="4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782.30</w:t>
            </w:r>
          </w:p>
        </w:tc>
        <w:tc>
          <w:tcPr>
            <w:tcW w:w="3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268.11</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bookmarkStart w:id="53" w:name="footnote-2"/>
      <w:bookmarkEnd w:id="53"/>
      <w:r>
        <w:rPr>
          <w:rFonts w:ascii="Times New Roman;Times;serif" w:hAnsi="Times New Roman;Times;serif"/>
          <w:sz w:val="15"/>
        </w:rPr>
        <w:t>(1)</w:t>
      </w:r>
      <w:r>
        <w:rPr>
          <w:rFonts w:ascii="Times New Roman;Times;serif" w:hAnsi="Times New Roman;Times;serif"/>
          <w:sz w:val="16"/>
        </w:rPr>
        <w:t xml:space="preserve"> JW Marriott Desert Ridge was acquired by the Company on June 10, 2025, therefore results are not comparable to the prior year period.</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Entertainment Segment</w:t>
      </w:r>
    </w:p>
    <w:tbl>
      <w:tblPr>
        <w:tblW w:w="10205" w:type="dxa"/>
        <w:jc w:val="center"/>
        <w:tblInd w:w="0" w:type="dxa"/>
        <w:tblLayout w:type="fixed"/>
        <w:tblCellMar>
          <w:top w:w="0" w:type="dxa"/>
          <w:left w:w="0" w:type="dxa"/>
          <w:bottom w:w="0" w:type="dxa"/>
          <w:right w:w="0" w:type="dxa"/>
        </w:tblCellMar>
      </w:tblPr>
      <w:tblGrid>
        <w:gridCol w:w="1968"/>
        <w:gridCol w:w="346"/>
        <w:gridCol w:w="211"/>
        <w:gridCol w:w="781"/>
        <w:gridCol w:w="361"/>
        <w:gridCol w:w="109"/>
        <w:gridCol w:w="211"/>
        <w:gridCol w:w="781"/>
        <w:gridCol w:w="361"/>
        <w:gridCol w:w="109"/>
        <w:gridCol w:w="466"/>
        <w:gridCol w:w="361"/>
        <w:gridCol w:w="346"/>
        <w:gridCol w:w="211"/>
        <w:gridCol w:w="781"/>
        <w:gridCol w:w="361"/>
        <w:gridCol w:w="109"/>
        <w:gridCol w:w="211"/>
        <w:gridCol w:w="781"/>
        <w:gridCol w:w="361"/>
        <w:gridCol w:w="109"/>
        <w:gridCol w:w="463"/>
        <w:gridCol w:w="407"/>
      </w:tblGrid>
      <w:tr>
        <w:trPr/>
        <w:tc>
          <w:tcPr>
            <w:tcW w:w="1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9680" cy="175260"/>
                      <wp:effectExtent l="0" t="0" r="0" b="0"/>
                      <wp:wrapNone/>
                      <wp:docPr id="203" name="Frame202"/>
                      <a:graphic xmlns:a="http://schemas.openxmlformats.org/drawingml/2006/main">
                        <a:graphicData uri="http://schemas.microsoft.com/office/word/2010/wordprocessingShape">
                          <wps:wsp>
                            <wps:cNvSpPr txBox="1"/>
                            <wps:spPr>
                              <a:xfrm>
                                <a:off x="0" y="0"/>
                                <a:ext cx="1249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95935" cy="175260"/>
                      <wp:effectExtent l="0" t="0" r="0" b="0"/>
                      <wp:wrapNone/>
                      <wp:docPr id="206" name="Frame2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9235" cy="175260"/>
                      <wp:effectExtent l="0" t="0" r="0" b="0"/>
                      <wp:wrapNone/>
                      <wp:docPr id="207" name="Frame2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5935" cy="175260"/>
                      <wp:effectExtent l="0" t="0" r="0" b="0"/>
                      <wp:wrapNone/>
                      <wp:docPr id="210" name="Frame2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9235" cy="175260"/>
                      <wp:effectExtent l="0" t="0" r="0" b="0"/>
                      <wp:wrapNone/>
                      <wp:docPr id="211" name="Frame2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95910" cy="175260"/>
                      <wp:effectExtent l="0" t="0" r="0" b="0"/>
                      <wp:wrapNone/>
                      <wp:docPr id="213" name="Frame21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9235" cy="175260"/>
                      <wp:effectExtent l="0" t="0" r="0" b="0"/>
                      <wp:wrapNone/>
                      <wp:docPr id="214" name="Frame2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5935" cy="175260"/>
                      <wp:effectExtent l="0" t="0" r="0" b="0"/>
                      <wp:wrapNone/>
                      <wp:docPr id="217" name="Frame2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29235" cy="175260"/>
                      <wp:effectExtent l="0" t="0" r="0" b="0"/>
                      <wp:wrapNone/>
                      <wp:docPr id="218" name="Frame2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5935" cy="175260"/>
                      <wp:effectExtent l="0" t="0" r="0" b="0"/>
                      <wp:wrapNone/>
                      <wp:docPr id="221" name="Frame2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9235" cy="175260"/>
                      <wp:effectExtent l="0" t="0" r="0" b="0"/>
                      <wp:wrapNone/>
                      <wp:docPr id="222" name="Frame2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94005" cy="175260"/>
                      <wp:effectExtent l="0" t="0" r="0" b="0"/>
                      <wp:wrapNone/>
                      <wp:docPr id="224" name="Frame223"/>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58445" cy="175260"/>
                      <wp:effectExtent l="0" t="0" r="0" b="0"/>
                      <wp:wrapNone/>
                      <wp:docPr id="225" name="Frame224"/>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1"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794"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9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79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96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in thousands)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3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968"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144,014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143,304</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223,197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232,854</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6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pPr>
            <w:r>
              <w:rPr/>
              <w:t>​</w:t>
            </w:r>
          </w:p>
        </w:tc>
      </w:tr>
      <w:tr>
        <w:trPr/>
        <w:tc>
          <w:tcPr>
            <w:tcW w:w="1968"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 xml:space="preserve">Operating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32,404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23,495</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36,657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33,811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68"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r>
        <w:trPr/>
        <w:tc>
          <w:tcPr>
            <w:tcW w:w="196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43,918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33,908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59,599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54,847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96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r>
              <w:rPr>
                <w:rFonts w:ascii="Times New Roman;Times;serif" w:hAnsi="Times New Roman;Times;serif"/>
                <w:sz w:val="18"/>
              </w:rPr>
              <w:t xml:space="preserve"> </w:t>
            </w:r>
            <w:r>
              <w:rPr>
                <w:rFonts w:ascii="Times New Roman;Times;serif" w:hAnsi="Times New Roman;Times;serif"/>
                <w:sz w:val="19"/>
              </w:rPr>
              <w:t>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pts</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lineRule="auto" w:line="429" w:before="0" w:after="240"/>
        <w:ind w:left="0" w:right="0" w:hanging="0"/>
        <w:jc w:val="both"/>
        <w:rPr>
          <w:rFonts w:ascii="Times New Roman;Times;serif" w:hAnsi="Times New Roman;Times;serif"/>
          <w:sz w:val="22"/>
        </w:rPr>
      </w:pPr>
      <w:bookmarkStart w:id="54" w:name="_Hlk196831475"/>
      <w:bookmarkStart w:id="55" w:name="_Hlk196729855"/>
      <w:bookmarkEnd w:id="54"/>
      <w:bookmarkEnd w:id="55"/>
      <w:r>
        <w:rPr>
          <w:rFonts w:ascii="Times New Roman;Times;serif" w:hAnsi="Times New Roman;Times;serif"/>
          <w:sz w:val="22"/>
        </w:rPr>
        <w:t>Fioravanti continued, “Our Entertainment business delivered record quarterly Adjusted EBITDA</w:t>
      </w:r>
      <w:r>
        <w:rPr>
          <w:rFonts w:ascii="Times New Roman;Times;serif" w:hAnsi="Times New Roman;Times;serif"/>
          <w:i/>
          <w:sz w:val="22"/>
        </w:rPr>
        <w:t>re</w:t>
      </w:r>
      <w:r>
        <w:rPr>
          <w:rFonts w:ascii="Times New Roman;Times;serif" w:hAnsi="Times New Roman;Times;serif"/>
          <w:sz w:val="22"/>
        </w:rPr>
        <w:t xml:space="preserve"> driven by a successful festivals season and continued strong demand for our artist-centered venues. The continued strength in demand for these experiences underscores the opportunities ahead within our multi-year development pipeline.”</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Corporate and Other Segment</w:t>
      </w:r>
    </w:p>
    <w:tbl>
      <w:tblPr>
        <w:tblW w:w="9092" w:type="dxa"/>
        <w:jc w:val="center"/>
        <w:tblInd w:w="0" w:type="dxa"/>
        <w:tblLayout w:type="fixed"/>
        <w:tblCellMar>
          <w:top w:w="0" w:type="dxa"/>
          <w:left w:w="0" w:type="dxa"/>
          <w:bottom w:w="0" w:type="dxa"/>
          <w:right w:w="0" w:type="dxa"/>
        </w:tblCellMar>
      </w:tblPr>
      <w:tblGrid>
        <w:gridCol w:w="1771"/>
        <w:gridCol w:w="346"/>
        <w:gridCol w:w="211"/>
        <w:gridCol w:w="796"/>
        <w:gridCol w:w="109"/>
        <w:gridCol w:w="109"/>
        <w:gridCol w:w="211"/>
        <w:gridCol w:w="796"/>
        <w:gridCol w:w="109"/>
        <w:gridCol w:w="109"/>
        <w:gridCol w:w="481"/>
        <w:gridCol w:w="361"/>
        <w:gridCol w:w="346"/>
        <w:gridCol w:w="211"/>
        <w:gridCol w:w="796"/>
        <w:gridCol w:w="109"/>
        <w:gridCol w:w="109"/>
        <w:gridCol w:w="211"/>
        <w:gridCol w:w="796"/>
        <w:gridCol w:w="109"/>
        <w:gridCol w:w="109"/>
        <w:gridCol w:w="481"/>
        <w:gridCol w:w="40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124585" cy="175260"/>
                      <wp:effectExtent l="0" t="0" r="0" b="0"/>
                      <wp:wrapNone/>
                      <wp:docPr id="226" name="Frame225"/>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9" name="Frame2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05460" cy="175260"/>
                      <wp:effectExtent l="0" t="0" r="0" b="0"/>
                      <wp:wrapNone/>
                      <wp:docPr id="233" name="Frame2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05435" cy="175260"/>
                      <wp:effectExtent l="0" t="0" r="0" b="0"/>
                      <wp:wrapNone/>
                      <wp:docPr id="236" name="Frame23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29235" cy="175260"/>
                      <wp:effectExtent l="0" t="0" r="0" b="0"/>
                      <wp:wrapNone/>
                      <wp:docPr id="237" name="Frame2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40" name="Frame2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05460" cy="175260"/>
                      <wp:effectExtent l="0" t="0" r="0" b="0"/>
                      <wp:wrapNone/>
                      <wp:docPr id="244"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05435" cy="175260"/>
                      <wp:effectExtent l="0" t="0" r="0" b="0"/>
                      <wp:wrapNone/>
                      <wp:docPr id="247" name="Frame24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58445" cy="175260"/>
                      <wp:effectExtent l="0" t="0" r="0" b="0"/>
                      <wp:wrapNone/>
                      <wp:docPr id="248" name="Frame247"/>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92"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337"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9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33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in thousands)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771" w:type="dxa"/>
            <w:tcBorders/>
            <w:shd w:fill="CCEEFF" w:val="clear"/>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(11,502)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(10,990)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(23,046)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(21,994)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r>
        <w:trPr/>
        <w:tc>
          <w:tcPr>
            <w:tcW w:w="177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9"/>
              </w:rPr>
              <w:t>Adjusted EBITDA</w:t>
            </w:r>
            <w:r>
              <w:rPr>
                <w:rFonts w:ascii="Times New Roman;Times;serif" w:hAnsi="Times New Roman;Times;serif"/>
                <w:i/>
                <w:sz w:val="19"/>
              </w:rPr>
              <w:t>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(8,649)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(8,487)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(17,607)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(16,898)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Capital Expenditures</w:t>
      </w:r>
    </w:p>
    <w:p>
      <w:pPr>
        <w:pStyle w:val="TextBody"/>
        <w:bidi w:val="0"/>
        <w:spacing w:lineRule="auto" w:line="429" w:before="0" w:after="240"/>
        <w:ind w:left="0" w:right="0" w:hanging="0"/>
        <w:jc w:val="both"/>
        <w:rPr>
          <w:rFonts w:ascii="Times New Roman;Times;serif" w:hAnsi="Times New Roman;Times;serif"/>
          <w:sz w:val="22"/>
        </w:rPr>
      </w:pPr>
      <w:bookmarkStart w:id="56" w:name="_Hlk204344593"/>
      <w:bookmarkStart w:id="57" w:name="_Hlk190161609"/>
      <w:bookmarkEnd w:id="56"/>
      <w:bookmarkEnd w:id="57"/>
      <w:r>
        <w:rPr>
          <w:rFonts w:ascii="Times New Roman;Times;serif" w:hAnsi="Times New Roman;Times;serif"/>
          <w:sz w:val="22"/>
        </w:rPr>
        <w:t xml:space="preserve">In 2026, the Company expects to spend approximately $400 to $500 million on capital expenditures, an increase from the previous estimate of $350 to $450 million. The increase reflects the timing of cash flows and the acceleration of a portion of projected spending previously expected in 2027, now expected to occur in 2026, and does not reflect a change in overall project scope. Capital expenditures for the first half of 2026 were approximately $241 million. </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 xml:space="preserve">In the second quarter, the Company completed the Foundry Fieldhouse sports bar, pavilion, and event lawn development at Gaylord Opryland and the meeting space conversion project at JW Marriott Desert Ridge. </w:t>
      </w:r>
    </w:p>
    <w:p>
      <w:pPr>
        <w:pStyle w:val="TextBody"/>
        <w:bidi w:val="0"/>
        <w:spacing w:lineRule="auto" w:line="429" w:before="0" w:after="120"/>
        <w:ind w:left="0" w:right="0" w:hanging="0"/>
        <w:jc w:val="both"/>
        <w:rPr>
          <w:rFonts w:ascii="Times New Roman;Times;serif" w:hAnsi="Times New Roman;Times;serif"/>
          <w:sz w:val="22"/>
        </w:rPr>
      </w:pPr>
      <w:r>
        <w:rPr>
          <w:rFonts w:ascii="Times New Roman;Times;serif" w:hAnsi="Times New Roman;Times;serif"/>
          <w:sz w:val="22"/>
        </w:rPr>
        <w:t xml:space="preserve">Additional capital expenditure activity in 2026 includes: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Continuation of the meeting space expansion at Gaylord Opryland, which is expected to be completed by mid-year 2027;</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Renovation of the rooms at Gaylord Texan, which began in July 2025 and is expected to be completed in August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Renovation of the rooms at JW Marriott Hill Country, which began in April 2026 and is expected to be completed in March 2027;</w:t>
            </w:r>
          </w:p>
        </w:tc>
      </w:tr>
    </w:tbl>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development of Category 10 Las Vegas, which is expected to be completed in October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development of Category 10 in Orlando, which is expected to begin in fall 2026 and is expected to be completed in early 2028; and</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development of Ole Red Indianapolis, which is expected to be completed by our development partner Pacer Sports &amp; Entertainment in early 2028. </w:t>
            </w:r>
          </w:p>
        </w:tc>
      </w:tr>
    </w:tbl>
    <w:p>
      <w:pPr>
        <w:pStyle w:val="TextBody"/>
        <w:bidi w:val="0"/>
        <w:spacing w:lineRule="auto" w:line="429" w:before="0" w:after="0"/>
        <w:ind w:left="0" w:right="0" w:hanging="0"/>
        <w:jc w:val="both"/>
        <w:rPr/>
      </w:pPr>
      <w:r>
        <w:rPr/>
        <w:t>​</w:t>
      </w:r>
    </w:p>
    <w:p>
      <w:pPr>
        <w:pStyle w:val="TextBody"/>
        <w:bidi w:val="0"/>
        <w:spacing w:lineRule="auto" w:line="429" w:before="0" w:after="240"/>
        <w:ind w:left="0" w:right="0" w:hanging="0"/>
        <w:jc w:val="both"/>
        <w:rPr>
          <w:rFonts w:ascii="Times New Roman;Times;serif" w:hAnsi="Times New Roman;Times;serif"/>
          <w:b/>
          <w:sz w:val="22"/>
        </w:rPr>
      </w:pPr>
      <w:bookmarkStart w:id="58" w:name="_Hlk190341864"/>
      <w:bookmarkEnd w:id="58"/>
      <w:r>
        <w:rPr>
          <w:rFonts w:ascii="Times New Roman;Times;serif" w:hAnsi="Times New Roman;Times;serif"/>
          <w:b/>
          <w:sz w:val="22"/>
        </w:rPr>
        <w:t>2026 Guidance</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The Company is updating its 2026 business performance outlook based on current information as of August 6, 2026. The Company does not expect to update the guidance provided below before next quarter’s earnings release. However, the Company may update or withdraw its full business outlook or any portion thereof at any time for any reason.</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Fioravanti concluded, “We are pleased to raise the midpoints of our 2026 guidance ranges to reflect the stronger second quarter results in our Hospitality portfolio, including JW Marriott Desert Ridge. Our outlook also incorporates a more constructive view on second-half group business trends, supported by the business we have on the books.”</w:t>
      </w:r>
    </w:p>
    <w:tbl>
      <w:tblPr>
        <w:tblW w:w="10205" w:type="dxa"/>
        <w:jc w:val="center"/>
        <w:tblInd w:w="0" w:type="dxa"/>
        <w:tblLayout w:type="fixed"/>
        <w:tblCellMar>
          <w:top w:w="0" w:type="dxa"/>
          <w:left w:w="0" w:type="dxa"/>
          <w:bottom w:w="0" w:type="dxa"/>
          <w:right w:w="0" w:type="dxa"/>
        </w:tblCellMar>
      </w:tblPr>
      <w:tblGrid>
        <w:gridCol w:w="2333"/>
        <w:gridCol w:w="109"/>
        <w:gridCol w:w="196"/>
        <w:gridCol w:w="520"/>
        <w:gridCol w:w="256"/>
        <w:gridCol w:w="109"/>
        <w:gridCol w:w="196"/>
        <w:gridCol w:w="520"/>
        <w:gridCol w:w="256"/>
        <w:gridCol w:w="109"/>
        <w:gridCol w:w="196"/>
        <w:gridCol w:w="520"/>
        <w:gridCol w:w="256"/>
        <w:gridCol w:w="109"/>
        <w:gridCol w:w="109"/>
        <w:gridCol w:w="196"/>
        <w:gridCol w:w="520"/>
        <w:gridCol w:w="256"/>
        <w:gridCol w:w="109"/>
        <w:gridCol w:w="196"/>
        <w:gridCol w:w="520"/>
        <w:gridCol w:w="256"/>
        <w:gridCol w:w="109"/>
        <w:gridCol w:w="196"/>
        <w:gridCol w:w="520"/>
        <w:gridCol w:w="256"/>
        <w:gridCol w:w="109"/>
        <w:gridCol w:w="109"/>
        <w:gridCol w:w="243"/>
        <w:gridCol w:w="524"/>
        <w:gridCol w:w="292"/>
      </w:tblGrid>
      <w:tr>
        <w:trPr/>
        <w:tc>
          <w:tcPr>
            <w:tcW w:w="2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81455" cy="175260"/>
                      <wp:effectExtent l="0" t="0" r="0" b="0"/>
                      <wp:wrapNone/>
                      <wp:docPr id="249" name="Frame248"/>
                      <a:graphic xmlns:a="http://schemas.openxmlformats.org/drawingml/2006/main">
                        <a:graphicData uri="http://schemas.microsoft.com/office/word/2010/wordprocessingShape">
                          <wps:wsp>
                            <wps:cNvSpPr txBox="1"/>
                            <wps:spPr>
                              <a:xfrm>
                                <a:off x="0" y="0"/>
                                <a:ext cx="148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51"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30200" cy="175260"/>
                      <wp:effectExtent l="0" t="0" r="0" b="0"/>
                      <wp:wrapNone/>
                      <wp:docPr id="252" name="Frame251"/>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2560" cy="175260"/>
                      <wp:effectExtent l="0" t="0" r="0" b="0"/>
                      <wp:wrapNone/>
                      <wp:docPr id="253" name="Frame25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30200" cy="175260"/>
                      <wp:effectExtent l="0" t="0" r="0" b="0"/>
                      <wp:wrapNone/>
                      <wp:docPr id="256" name="Frame255"/>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2560" cy="175260"/>
                      <wp:effectExtent l="0" t="0" r="0" b="0"/>
                      <wp:wrapNone/>
                      <wp:docPr id="257" name="Frame25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30200" cy="175260"/>
                      <wp:effectExtent l="0" t="0" r="0" b="0"/>
                      <wp:wrapNone/>
                      <wp:docPr id="260" name="Frame259"/>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2560" cy="175260"/>
                      <wp:effectExtent l="0" t="0" r="0" b="0"/>
                      <wp:wrapNone/>
                      <wp:docPr id="261" name="Frame26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30200" cy="175260"/>
                      <wp:effectExtent l="0" t="0" r="0" b="0"/>
                      <wp:wrapNone/>
                      <wp:docPr id="265" name="Frame26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2560" cy="175260"/>
                      <wp:effectExtent l="0" t="0" r="0" b="0"/>
                      <wp:wrapNone/>
                      <wp:docPr id="266" name="Frame26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4460" cy="175260"/>
                      <wp:effectExtent l="0" t="0" r="0" b="0"/>
                      <wp:wrapNone/>
                      <wp:docPr id="268"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30200" cy="175260"/>
                      <wp:effectExtent l="0" t="0" r="0" b="0"/>
                      <wp:wrapNone/>
                      <wp:docPr id="269" name="Frame268"/>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2560" cy="175260"/>
                      <wp:effectExtent l="0" t="0" r="0" b="0"/>
                      <wp:wrapNone/>
                      <wp:docPr id="270" name="Frame26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30200" cy="175260"/>
                      <wp:effectExtent l="0" t="0" r="0" b="0"/>
                      <wp:wrapNone/>
                      <wp:docPr id="273" name="Frame272"/>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2560" cy="175260"/>
                      <wp:effectExtent l="0" t="0" r="0" b="0"/>
                      <wp:wrapNone/>
                      <wp:docPr id="274" name="Frame27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4305" cy="175260"/>
                      <wp:effectExtent l="0" t="0" r="0" b="0"/>
                      <wp:wrapNone/>
                      <wp:docPr id="277" name="Frame27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32740" cy="175260"/>
                      <wp:effectExtent l="0" t="0" r="0" b="0"/>
                      <wp:wrapNone/>
                      <wp:docPr id="278" name="Frame277"/>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5420" cy="175260"/>
                      <wp:effectExtent l="0" t="0" r="0" b="0"/>
                      <wp:wrapNone/>
                      <wp:docPr id="279" name="Frame278"/>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4" w:type="dxa"/>
            <w:gridSpan w:val="11"/>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Guidance Range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4" w:type="dxa"/>
            <w:gridSpan w:val="11"/>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Prior Guidance Range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 millions, except per share figures)</w:t>
            </w:r>
          </w:p>
        </w:tc>
        <w:tc>
          <w:tcPr>
            <w:tcW w:w="109" w:type="dxa"/>
            <w:tcBorders/>
            <w:vAlign w:val="center"/>
          </w:tcPr>
          <w:p>
            <w:pPr>
              <w:pStyle w:val="TableContents"/>
              <w:bidi w:val="0"/>
              <w:spacing w:before="0" w:after="0"/>
              <w:ind w:left="0" w:right="0" w:hanging="0"/>
              <w:jc w:val="left"/>
              <w:rPr/>
            </w:pPr>
            <w:r>
              <w:rPr/>
              <w:t>​</w:t>
            </w:r>
          </w:p>
        </w:tc>
        <w:tc>
          <w:tcPr>
            <w:tcW w:w="313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Full Year 2026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Full Year 2026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 to</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Low</w:t>
            </w:r>
          </w:p>
        </w:tc>
        <w:tc>
          <w:tcPr>
            <w:tcW w:w="109" w:type="dxa"/>
            <w:tcBorders/>
            <w:vAlign w:val="center"/>
          </w:tcPr>
          <w:p>
            <w:pPr>
              <w:pStyle w:val="TableContents"/>
              <w:bidi w:val="0"/>
              <w:spacing w:before="0" w:after="0"/>
              <w:ind w:left="0" w:right="0" w:hanging="0"/>
              <w:jc w:val="center"/>
              <w:rPr/>
            </w:pPr>
            <w:r>
              <w:rPr/>
              <w:t>​</w:t>
            </w:r>
          </w:p>
        </w:tc>
        <w:tc>
          <w:tcPr>
            <w:tcW w:w="9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High</w:t>
            </w:r>
          </w:p>
        </w:tc>
        <w:tc>
          <w:tcPr>
            <w:tcW w:w="109" w:type="dxa"/>
            <w:tcBorders/>
            <w:vAlign w:val="center"/>
          </w:tcPr>
          <w:p>
            <w:pPr>
              <w:pStyle w:val="TableContents"/>
              <w:bidi w:val="0"/>
              <w:spacing w:before="0" w:after="0"/>
              <w:ind w:left="0" w:right="0" w:hanging="0"/>
              <w:jc w:val="center"/>
              <w:rPr/>
            </w:pPr>
            <w:r>
              <w:rPr/>
              <w:t>​</w:t>
            </w:r>
          </w:p>
        </w:tc>
        <w:tc>
          <w:tcPr>
            <w:tcW w:w="9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Midpoint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Low</w:t>
            </w:r>
          </w:p>
        </w:tc>
        <w:tc>
          <w:tcPr>
            <w:tcW w:w="109" w:type="dxa"/>
            <w:tcBorders/>
            <w:vAlign w:val="center"/>
          </w:tcPr>
          <w:p>
            <w:pPr>
              <w:pStyle w:val="TableContents"/>
              <w:bidi w:val="0"/>
              <w:spacing w:before="0" w:after="0"/>
              <w:ind w:left="0" w:right="0" w:hanging="0"/>
              <w:jc w:val="center"/>
              <w:rPr/>
            </w:pPr>
            <w:r>
              <w:rPr/>
              <w:t>​</w:t>
            </w:r>
          </w:p>
        </w:tc>
        <w:tc>
          <w:tcPr>
            <w:tcW w:w="9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High</w:t>
            </w:r>
          </w:p>
        </w:tc>
        <w:tc>
          <w:tcPr>
            <w:tcW w:w="109" w:type="dxa"/>
            <w:tcBorders/>
            <w:vAlign w:val="center"/>
          </w:tcPr>
          <w:p>
            <w:pPr>
              <w:pStyle w:val="TableContents"/>
              <w:bidi w:val="0"/>
              <w:spacing w:before="0" w:after="0"/>
              <w:ind w:left="0" w:right="0" w:hanging="0"/>
              <w:jc w:val="center"/>
              <w:rPr/>
            </w:pPr>
            <w:r>
              <w:rPr/>
              <w:t>​</w:t>
            </w:r>
          </w:p>
        </w:tc>
        <w:tc>
          <w:tcPr>
            <w:tcW w:w="97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Midpoint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Midpoint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Same-store Hospitality RevPAR growth</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center"/>
              <w:rPr/>
            </w:pPr>
            <w:r>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Same-store Hospitality Total RevPAR growth</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center"/>
              <w:rPr/>
            </w:pPr>
            <w:r>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3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center"/>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u w:val="single"/>
              </w:rPr>
            </w:pPr>
            <w:r>
              <w:rPr>
                <w:rFonts w:ascii="Times New Roman;Times;serif" w:hAnsi="Times New Roman;Times;serif"/>
                <w:sz w:val="18"/>
                <w:u w:val="single"/>
              </w:rPr>
              <w:t>Operating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center"/>
              <w:rPr/>
            </w:pPr>
            <w:r>
              <w:rPr/>
              <w:t>​</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Hospitality (same-store)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JW Marriott Desert Ridge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Entertainment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center"/>
              <w:rPr/>
            </w:pPr>
            <w:r>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 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543.8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557.0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550.4</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533.3</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551.0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542.1</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center"/>
              <w:rPr/>
            </w:pPr>
            <w:r>
              <w:rPr/>
              <w:t>​</w:t>
            </w:r>
          </w:p>
        </w:tc>
        <w:tc>
          <w:tcPr>
            <w:tcW w:w="5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u w:val="single"/>
              </w:rPr>
              <w:t>Adjusted EBITDA</w:t>
            </w:r>
            <w:r>
              <w:rPr>
                <w:rFonts w:ascii="Times New Roman;Times;serif" w:hAnsi="Times New Roman;Times;serif"/>
                <w:i/>
                <w:sz w:val="18"/>
              </w:rPr>
              <w:t>re</w:t>
            </w:r>
            <w:r>
              <w:rPr>
                <w:rFonts w:ascii="Times New Roman;Times;serif" w:hAnsi="Times New Roman;Times;serif"/>
                <w:sz w:val="18"/>
                <w:u w:val="single"/>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center"/>
              <w:rPr/>
            </w:pPr>
            <w:r>
              <w:rPr/>
              <w:t>​</w:t>
            </w:r>
          </w:p>
        </w:tc>
        <w:tc>
          <w:tcPr>
            <w:tcW w:w="5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Hospitality (same-store)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JW Marriott Desert Ridge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Entertainment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center"/>
              <w:rPr/>
            </w:pPr>
            <w:r>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Consolidated Adjusted EBITDA</w:t>
            </w:r>
            <w:r>
              <w:rPr>
                <w:rFonts w:ascii="Times New Roman;Times;serif" w:hAnsi="Times New Roman;Times;serif"/>
                <w:b/>
                <w:i/>
                <w:sz w:val="18"/>
              </w:rPr>
              <w:t>re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878.0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910.0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894.0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864.0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902.0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883.0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11.0</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center"/>
              <w:rPr/>
            </w:pPr>
            <w:r>
              <w:rPr/>
              <w:t>​</w:t>
            </w:r>
          </w:p>
        </w:tc>
        <w:tc>
          <w:tcPr>
            <w:tcW w:w="5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Net income </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income available to common stockholders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FFO available to common stockholders and unit holders</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552.0</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562.3</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Adjusted FFO available to common stockholders and unit holders</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592.3</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616.8</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577.3</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592.1</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Net income available to common stockholders per diluted share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Adjusted FFO available to common stockholders and unit holders </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per diluted share/unit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9.28</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0.17</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233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Weighted average shares outstanding - diluted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243"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92" w:type="dxa"/>
            <w:tcBorders/>
            <w:vAlign w:val="center"/>
          </w:tcPr>
          <w:p>
            <w:pPr>
              <w:pStyle w:val="TableContents"/>
              <w:bidi w:val="0"/>
              <w:spacing w:before="0" w:after="0"/>
              <w:ind w:left="0" w:right="0" w:hanging="0"/>
              <w:jc w:val="left"/>
              <w:rPr/>
            </w:pPr>
            <w:r>
              <w:rPr/>
              <w:t>​</w:t>
            </w:r>
          </w:p>
        </w:tc>
      </w:tr>
      <w:tr>
        <w:trPr/>
        <w:tc>
          <w:tcPr>
            <w:tcW w:w="2333"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Weighted average shares and OP units outstanding - diluted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292" w:type="dxa"/>
            <w:tcBorders/>
            <w:shd w:fill="CCEEFF" w:val="cle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8365" w:type="dxa"/>
        <w:jc w:val="left"/>
        <w:tblInd w:w="0" w:type="dxa"/>
        <w:tblLayout w:type="fixed"/>
        <w:tblCellMar>
          <w:top w:w="0" w:type="dxa"/>
          <w:left w:w="0" w:type="dxa"/>
          <w:bottom w:w="0" w:type="dxa"/>
          <w:right w:w="0" w:type="dxa"/>
        </w:tblCellMar>
      </w:tblPr>
      <w:tblGrid>
        <w:gridCol w:w="230"/>
        <w:gridCol w:w="8135"/>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JW Marriott Desert Ridge, except as otherwise noted. Amounts are calculated based on unrounded numbers.</w:t>
            </w:r>
          </w:p>
        </w:tc>
      </w:tr>
    </w:tbl>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sz w:val="16"/>
        </w:rPr>
        <w:t>Note: For reconciliations of Consolidated Adjusted EBITDA</w:t>
      </w:r>
      <w:r>
        <w:rPr>
          <w:rFonts w:ascii="Times New Roman;Times;serif" w:hAnsi="Times New Roman;Times;serif"/>
          <w:i/>
          <w:sz w:val="16"/>
        </w:rPr>
        <w:t>re</w:t>
      </w:r>
      <w:r>
        <w:rPr>
          <w:rFonts w:ascii="Times New Roman;Times;serif" w:hAnsi="Times New Roman;Times;serif"/>
          <w:sz w:val="16"/>
        </w:rPr>
        <w:t xml:space="preserve"> guidance to Net Income, segment-level Adjusted EBITDA</w:t>
      </w:r>
      <w:r>
        <w:rPr>
          <w:rFonts w:ascii="Times New Roman;Times;serif" w:hAnsi="Times New Roman;Times;serif"/>
          <w:i/>
          <w:sz w:val="16"/>
        </w:rPr>
        <w:t>re</w:t>
      </w:r>
      <w:r>
        <w:rPr>
          <w:rFonts w:ascii="Times New Roman;Times;serif" w:hAnsi="Times New Roman;Times;serif"/>
          <w:sz w:val="16"/>
        </w:rPr>
        <w:t xml:space="preserve"> to segment-level Operating Income, and FFO and Adjusted FFO available to common stockholders and unit holders to Net Income available to common stockholders, see “Reconciliation of Forward-Looking Statements.”</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Dividend Update</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On July 15, 2026, the Company paid the previously announced quarterly cash dividend of $1.20 per common share, which was paid to stockholders of record as of June 30, 2026.</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The Company’s dividend policy provides that it will distribute minimum dividends of 100% of REIT taxable income annually. Future dividends are subject to the Board’s future determinations as to amount and timing.</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Balance Sheet/Liquidity Update</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As of June 30, 2026, the Company had unrestricted cash of $366.1 million and total debt outstanding of $3,969.5 million, net of unamortized deferred financing costs.</w:t>
      </w:r>
      <w:bookmarkStart w:id="59" w:name="_Hlk69906509"/>
      <w:bookmarkEnd w:id="59"/>
      <w:r>
        <w:rPr>
          <w:rFonts w:ascii="Times New Roman;Times;serif" w:hAnsi="Times New Roman;Times;serif"/>
          <w:sz w:val="22"/>
        </w:rPr>
        <w:t xml:space="preserve"> As of June 30, 2026, </w:t>
      </w:r>
      <w:r>
        <w:rPr>
          <w:rFonts w:ascii="TimesNewRomanPSMT" w:hAnsi="TimesNewRomanPSMT"/>
          <w:sz w:val="22"/>
        </w:rPr>
        <w:t xml:space="preserve">there were no amounts drawn under the Company’s revolving credit facility or OEG’s revolving credit facility, which left $930.0 million of aggregate borrowing availability under the Company’s revolving credit facility and OEG’s revolving credit facility. </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Opry Entertainment Group Update</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The Company continues to evaluate a path to greater independence for Opry Entertainment Group (“OEG”), and discussions continue with select potential investors related to an investment in or partnership with OEG. The Company has not entered into any agreements with respect to a potential investment by a third party in OEG, and there can be no assurance that any definitive agreement will ultimately be reached</w:t>
      </w:r>
      <w:r>
        <w:rPr>
          <w:rFonts w:ascii="TimesNewRomanPSMT" w:hAnsi="TimesNewRomanPSMT"/>
          <w:sz w:val="22"/>
        </w:rPr>
        <w:t xml:space="preserve">. </w:t>
      </w:r>
    </w:p>
    <w:p>
      <w:pPr>
        <w:pStyle w:val="TextBody"/>
        <w:bidi w:val="0"/>
        <w:spacing w:lineRule="auto" w:line="429" w:before="0" w:after="240"/>
        <w:ind w:left="0" w:right="0" w:hanging="0"/>
        <w:jc w:val="both"/>
        <w:rPr>
          <w:rFonts w:ascii="TimesNewRomanPSMT" w:hAnsi="TimesNewRomanPSMT"/>
          <w:sz w:val="22"/>
        </w:rPr>
      </w:pPr>
      <w:r>
        <w:rPr>
          <w:rFonts w:ascii="TimesNewRomanPSMT" w:hAnsi="TimesNewRomanPSMT"/>
          <w:sz w:val="22"/>
        </w:rPr>
        <w:t>As a result of this ongoing process, Atairos’ liquidity request rights, including its put right, are currently unexercisable under the Company’s agreement with Atairos.</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Earnings Call Information</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Ryman Hospitality Properties will hold a conference call to discuss this release tomorrow, August 7, at 10:00 a.m. ET. Investors can listen to the conference call over the Internet at www.rymanhp.com. To listen to the live call, please go to the Investor Relations section of the website (Investor Relations/News &amp; Events/Events &amp; Presentation) at least 15 minutes prior to the call to register and download any necessary audio software. For those who cannot listen to the live broadcast, a replay will be available shortly after the call and will be available for at least 30 days.</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About Ryman Hospitality Properties, Inc.</w:t>
      </w:r>
    </w:p>
    <w:p>
      <w:pPr>
        <w:pStyle w:val="TextBody"/>
        <w:bidi w:val="0"/>
        <w:spacing w:lineRule="auto" w:line="429" w:before="0" w:after="0"/>
        <w:ind w:left="0" w:right="0" w:hanging="0"/>
        <w:jc w:val="both"/>
        <w:rPr>
          <w:rFonts w:ascii="Times New Roman;Times;serif" w:hAnsi="Times New Roman;Times;serif"/>
          <w:sz w:val="22"/>
        </w:rPr>
      </w:pPr>
      <w:r>
        <w:rPr>
          <w:rFonts w:ascii="Times New Roman;Times;serif" w:hAnsi="Times New Roman;Times;serif"/>
          <w:sz w:val="22"/>
        </w:rPr>
        <w:t xml:space="preserve">Ryman Hospitality Properties, Inc. (NYSE: RHP) is a leading lodging and hospitality real estate investment trust that specializes in group-oriented, upscale convention center resorts and entertainment experiences. The Company’s holdings include Gaylord Opryland Resort &amp; Convention Center; Gaylord Palms Resort &amp; Convention Center; Gaylord Texan Resort &amp; Convention Center; Gaylord National Resort &amp; Convention Center; and Gaylord Rockies Resort &amp; Convention Center, five of the top seven largest non-gaming convention center hotels in the United States based on total indoor meeting space. The Company also owns JW Marriott Phoenix Desert Ridge Resort &amp; Spa and JW Marriott San Antonio Hill Country </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Resort &amp; Spa as well as two ancillary hotels adjacent to the Company’s Gaylord Hotels properties. The Company’s hotel portfolio is managed by Marriott International and includes a combined total of 12,364 rooms as well as more than 3 million square feet of total indoor and outdoor meeting space in top convention and leisure destinations across the country. RHP also owns an approximate 70% controlling ownership interest in Opry Entertainment Group (OEG), which is composed of entities owning a growing collection of iconic and emerging country music brands, including the Grand Ole Opry; Ryman Auditorium; WSM 650 AM; Ole Red; Category 10; Nashville-area attractions; and Block 21, a mixed-use entertainment, lodging, office and retail complex, including the W Austin Hotel and the ACL Live at the Moody Theater, located in downtown Austin, Texas. OEG manages select outdoor live music venues, including Ascend Federal Credit Union Amphitheater in Nashville and CCNB Amphitheatre in Simpsonville, South Carolina. OEG also owns a majority interest in Southern Entertainment, a leading festival and events business. RHP operates OEG as its Entertainment segment in a taxable REIT subsidiary, and its results are consolidated in the Company’s financial results.</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Cautionary Note Regarding Forward-Looking Statements</w:t>
      </w:r>
    </w:p>
    <w:p>
      <w:pPr>
        <w:pStyle w:val="TextBody"/>
        <w:bidi w:val="0"/>
        <w:spacing w:lineRule="auto" w:line="429" w:before="0" w:after="0"/>
        <w:ind w:left="0" w:right="0" w:hanging="0"/>
        <w:jc w:val="both"/>
        <w:rPr>
          <w:rFonts w:ascii="Times New Roman;Times;serif" w:hAnsi="Times New Roman;Times;serif"/>
          <w:sz w:val="22"/>
        </w:rPr>
      </w:pPr>
      <w:r>
        <w:rPr>
          <w:rFonts w:ascii="Times New Roman;Times;serif" w:hAnsi="Times New Roman;Times;serif"/>
          <w:sz w:val="22"/>
        </w:rPr>
        <w:t xml:space="preserve">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future performance of the Company’s business, anticipated business levels and anticipated financial results for the Company during future periods, the Company’s expected cash dividend, and other business or operational issues. These forward-looking statements are subject to risks and uncertainties that could cause actual results to differ materially from the statements made. These include the risks and uncertainties associated with economic conditions affecting the hospitality business generally, the geographic concentration of the Company’s hotel properties, business levels at the Company’s hotels, geopolitical uncertainty and the effects of inflation and changes in international, national, regional and local economic and market conditions (such as the imposition of trade barriers or other changes in trade policy) on the Company’s business, including the effects on costs of labor and supplies and effects on group customers at the Company’s hotels and customers in OEG’s businesses, the Company’s ability to remain qualified as a REIT, the Company’s ability to execute our strategic goals as a REIT, the Company’s ability to generate cash flows to support dividends, future board determinations regarding the timing and amount of dividends and changes to the dividend policy, the Company’s ability to borrow funds pursuant to its credit agreements and to refinance indebtedness and/or to successfully amend the agreements governing its indebtedness in the future, changes in interest rates, the Company’s integration of the JW Marriott Desert Ridge, the Company’s ability to identify and capitalize on additional value creation opportunities at the JW Marriott Desert Ridge and the occurrence of any event, change or other circumstance that could limit the Company’s ability to capitalize on any additional value creation opportunities it identifies at the JW Marriott Desert Ridge. Other factors that could cause operating and financial results to differ are described in the filings made from time to time by the Company with the U.S. Securities and Exchange Commission (SEC) and include the risk factors and other risks and uncertainties described in the Company’s Annual Report on Form 10-K for the fiscal year ended December 31, 2025, and subsequent filings. Except as required by law, the Company does not undertake any obligation to release publicly any </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revisions to forward-looking statements made by it to reflect events or circumstances occurring after the date hereof or the occurrence of unanticipated events.</w:t>
      </w:r>
    </w:p>
    <w:p>
      <w:pPr>
        <w:pStyle w:val="TextBody"/>
        <w:bidi w:val="0"/>
        <w:spacing w:lineRule="auto" w:line="429" w:before="0" w:after="240"/>
        <w:ind w:left="0" w:right="0" w:hanging="0"/>
        <w:jc w:val="both"/>
        <w:rPr>
          <w:rFonts w:ascii="Times New Roman;Times;serif" w:hAnsi="Times New Roman;Times;serif"/>
          <w:b/>
          <w:sz w:val="22"/>
        </w:rPr>
      </w:pPr>
      <w:r>
        <w:rPr>
          <w:rFonts w:ascii="Times New Roman;Times;serif" w:hAnsi="Times New Roman;Times;serif"/>
          <w:b/>
          <w:sz w:val="22"/>
        </w:rPr>
        <w:t>Additional Information</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 xml:space="preserve">This release should be read in conjunction with the consolidated financial statements and notes thereto included in our most recent Annual Report on Form 10-K. Copies of our reports are available on our website at no expense at www.rymanhp.com and through the SEC’s Electronic Data Gathering Analysis and Retrieval System (“EDGAR”) at www.sec.gov. </w:t>
      </w:r>
    </w:p>
    <w:p>
      <w:pPr>
        <w:pStyle w:val="TextBody"/>
        <w:bidi w:val="0"/>
        <w:spacing w:lineRule="auto" w:line="429" w:before="0" w:after="0"/>
        <w:ind w:left="0" w:right="0" w:hanging="0"/>
        <w:jc w:val="both"/>
        <w:rPr>
          <w:rFonts w:ascii="Times New Roman;Times;serif" w:hAnsi="Times New Roman;Times;serif"/>
          <w:b/>
          <w:i/>
          <w:sz w:val="22"/>
        </w:rPr>
      </w:pPr>
      <w:r>
        <w:rPr>
          <w:rFonts w:ascii="Times New Roman;Times;serif" w:hAnsi="Times New Roman;Times;serif"/>
          <w:b/>
          <w:i/>
          <w:sz w:val="22"/>
        </w:rPr>
        <w:t>Calculation of RevPAR and Total RevPAR</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We calculate revenue per available room (“RevPAR”) for our hotels by dividing room revenue by room nights available to guests for the period. We calculate total revenue per available room (“Total RevPAR”) for our hotels by dividing the sum of room revenue, food &amp; beverage, and other ancillary services revenue by room nights available to guests for the period. Hospitality metrics do not include the results of the W Austin, which is included in the Entertainment segment.</w:t>
      </w:r>
    </w:p>
    <w:p>
      <w:pPr>
        <w:pStyle w:val="TextBody"/>
        <w:bidi w:val="0"/>
        <w:spacing w:lineRule="auto" w:line="429" w:before="0" w:after="0"/>
        <w:ind w:left="0" w:right="0" w:hanging="0"/>
        <w:jc w:val="both"/>
        <w:rPr>
          <w:rFonts w:ascii="Times New Roman;Times;serif" w:hAnsi="Times New Roman;Times;serif"/>
          <w:b/>
          <w:i/>
          <w:sz w:val="22"/>
        </w:rPr>
      </w:pPr>
      <w:r>
        <w:rPr>
          <w:rFonts w:ascii="Times New Roman;Times;serif" w:hAnsi="Times New Roman;Times;serif"/>
          <w:b/>
          <w:i/>
          <w:sz w:val="22"/>
        </w:rPr>
        <w:t>Calculation of GAAP Margin Figures</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 xml:space="preserve">We calculate net income available to common stockholders margin by dividing GAAP consolidated net income available to common stockholders by GAAP consolidated total revenue. We calculate consolidated, segment or property-level operating income margin by dividing consolidated, segment or property-level GAAP operating income by consolidated, segment or property-level GAAP revenue. </w:t>
      </w:r>
    </w:p>
    <w:p>
      <w:pPr>
        <w:pStyle w:val="TextBody"/>
        <w:bidi w:val="0"/>
        <w:spacing w:lineRule="auto" w:line="429" w:before="0" w:after="0"/>
        <w:ind w:left="0" w:right="0" w:hanging="0"/>
        <w:jc w:val="both"/>
        <w:rPr>
          <w:rFonts w:ascii="Times New Roman;Times;serif" w:hAnsi="Times New Roman;Times;serif"/>
          <w:b/>
          <w:i/>
          <w:sz w:val="22"/>
        </w:rPr>
      </w:pPr>
      <w:r>
        <w:rPr>
          <w:rFonts w:ascii="Times New Roman;Times;serif" w:hAnsi="Times New Roman;Times;serif"/>
          <w:b/>
          <w:i/>
          <w:sz w:val="22"/>
        </w:rPr>
        <w:t>Non-GAAP Financial Measures</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We present the following non-GAAP financial measures we believe are useful to investors as key measures of our operating performance:</w:t>
      </w:r>
    </w:p>
    <w:p>
      <w:pPr>
        <w:pStyle w:val="TextBody"/>
        <w:bidi w:val="0"/>
        <w:spacing w:lineRule="auto" w:line="429" w:before="0" w:after="0"/>
        <w:ind w:left="0" w:right="0" w:hanging="0"/>
        <w:jc w:val="both"/>
        <w:rPr>
          <w:rFonts w:ascii="Times New Roman;Times;serif" w:hAnsi="Times New Roman;Times;serif"/>
          <w:b/>
          <w:i/>
          <w:sz w:val="22"/>
        </w:rPr>
      </w:pPr>
      <w:r>
        <w:rPr>
          <w:rFonts w:ascii="Times New Roman;Times;serif" w:hAnsi="Times New Roman;Times;serif"/>
          <w:b/>
          <w:i/>
          <w:sz w:val="22"/>
        </w:rPr>
        <w:t>EBITDAre, Adjusted EBITDAre and Adjusted EBITDAre, Excluding Noncontrolling Interest Definition</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shd w:fill="FFFFFF" w:val="clear"/>
        </w:rPr>
        <w:t>We calculate EBITDA</w:t>
      </w:r>
      <w:r>
        <w:rPr>
          <w:rFonts w:ascii="Times New Roman;Times;serif" w:hAnsi="Times New Roman;Times;serif"/>
          <w:i/>
          <w:sz w:val="22"/>
          <w:shd w:fill="FFFFFF" w:val="clear"/>
        </w:rPr>
        <w:t xml:space="preserve">re, </w:t>
      </w:r>
      <w:r>
        <w:rPr>
          <w:rFonts w:ascii="Times New Roman;Times;serif" w:hAnsi="Times New Roman;Times;serif"/>
          <w:sz w:val="22"/>
          <w:shd w:fill="FFFFFF" w:val="clear"/>
        </w:rPr>
        <w:t>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of unconsolidated affiliates. </w:t>
      </w:r>
    </w:p>
    <w:p>
      <w:pPr>
        <w:pStyle w:val="TextBody"/>
        <w:bidi w:val="0"/>
        <w:spacing w:lineRule="auto" w:line="429" w:before="0" w:after="120"/>
        <w:ind w:left="0" w:right="0" w:hanging="0"/>
        <w:jc w:val="both"/>
        <w:rPr>
          <w:rFonts w:ascii="Times New Roman;Times;serif" w:hAnsi="Times New Roman;Times;serif"/>
          <w:sz w:val="22"/>
        </w:rPr>
      </w:pPr>
      <w:r>
        <w:rPr>
          <w:rFonts w:ascii="Times New Roman;Times;serif" w:hAnsi="Times New Roman;Times;serif"/>
          <w:sz w:val="22"/>
          <w:shd w:fill="FFFFFF" w:val="clear"/>
        </w:rPr>
        <w:t>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is then calculated as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plus to the extent the following adjustments occurred during the periods presented: </w:t>
      </w:r>
    </w:p>
    <w:tbl>
      <w:tblPr>
        <w:tblW w:w="1923" w:type="dxa"/>
        <w:jc w:val="left"/>
        <w:tblInd w:w="0" w:type="dxa"/>
        <w:tblLayout w:type="fixed"/>
        <w:tblCellMar>
          <w:top w:w="0" w:type="dxa"/>
          <w:left w:w="0" w:type="dxa"/>
          <w:bottom w:w="0" w:type="dxa"/>
          <w:right w:w="0" w:type="dxa"/>
        </w:tblCellMar>
      </w:tblPr>
      <w:tblGrid>
        <w:gridCol w:w="23"/>
        <w:gridCol w:w="17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preopening costs; </w:t>
            </w:r>
          </w:p>
        </w:tc>
      </w:tr>
    </w:tbl>
    <w:tbl>
      <w:tblPr>
        <w:tblW w:w="2538" w:type="dxa"/>
        <w:jc w:val="left"/>
        <w:tblInd w:w="0" w:type="dxa"/>
        <w:tblLayout w:type="fixed"/>
        <w:tblCellMar>
          <w:top w:w="0" w:type="dxa"/>
          <w:left w:w="0" w:type="dxa"/>
          <w:bottom w:w="0" w:type="dxa"/>
          <w:right w:w="0" w:type="dxa"/>
        </w:tblCellMar>
      </w:tblPr>
      <w:tblGrid>
        <w:gridCol w:w="23"/>
        <w:gridCol w:w="17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non-cash lease expense; </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equity-based compensation expense; </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p>
      <w:pPr>
        <w:pStyle w:val="HorizontalLine"/>
        <w:pBdr>
          <w:bottom w:val="double" w:sz="2" w:space="0" w:color="808080"/>
        </w:pBdr>
        <w:bidi w:val="0"/>
        <w:spacing w:before="0" w:after="283"/>
        <w:jc w:val="left"/>
        <w:rPr/>
      </w:pPr>
      <w:r>
        <w:rPr/>
      </w:r>
    </w:p>
    <w:tbl>
      <w:tblPr>
        <w:tblW w:w="6573" w:type="dxa"/>
        <w:jc w:val="left"/>
        <w:tblInd w:w="0" w:type="dxa"/>
        <w:tblLayout w:type="fixed"/>
        <w:tblCellMar>
          <w:top w:w="0" w:type="dxa"/>
          <w:left w:w="0" w:type="dxa"/>
          <w:bottom w:w="0" w:type="dxa"/>
          <w:right w:w="0" w:type="dxa"/>
        </w:tblCellMar>
      </w:tblPr>
      <w:tblGrid>
        <w:gridCol w:w="23"/>
        <w:gridCol w:w="170"/>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impairment charges that do not meet the NAREIT definition above; </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credit losses on held-to-maturity securities; </w:t>
            </w:r>
          </w:p>
        </w:tc>
      </w:tr>
    </w:tbl>
    <w:tbl>
      <w:tblPr>
        <w:tblW w:w="3303" w:type="dxa"/>
        <w:jc w:val="left"/>
        <w:tblInd w:w="0" w:type="dxa"/>
        <w:tblLayout w:type="fixed"/>
        <w:tblCellMar>
          <w:top w:w="0" w:type="dxa"/>
          <w:left w:w="0" w:type="dxa"/>
          <w:bottom w:w="0" w:type="dxa"/>
          <w:right w:w="0" w:type="dxa"/>
        </w:tblCellMar>
      </w:tblPr>
      <w:tblGrid>
        <w:gridCol w:w="23"/>
        <w:gridCol w:w="17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transaction costs of acquisitions; </w:t>
            </w:r>
          </w:p>
        </w:tc>
      </w:tr>
    </w:tbl>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interest income on bonds; </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loss on extinguishment of debt; </w:t>
            </w:r>
          </w:p>
        </w:tc>
      </w:tr>
    </w:tbl>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pension settlement charges; </w:t>
            </w:r>
          </w:p>
        </w:tc>
      </w:tr>
    </w:tbl>
    <w:tbl>
      <w:tblPr>
        <w:tblW w:w="6768" w:type="dxa"/>
        <w:jc w:val="left"/>
        <w:tblInd w:w="0" w:type="dxa"/>
        <w:tblLayout w:type="fixed"/>
        <w:tblCellMar>
          <w:top w:w="0" w:type="dxa"/>
          <w:left w:w="0" w:type="dxa"/>
          <w:bottom w:w="0" w:type="dxa"/>
          <w:right w:w="0" w:type="dxa"/>
        </w:tblCellMar>
      </w:tblPr>
      <w:tblGrid>
        <w:gridCol w:w="23"/>
        <w:gridCol w:w="17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shd w:fill="FFFFFF" w:val="clear"/>
              </w:rPr>
              <w:t>pro rata Adjusted EBITDA</w:t>
            </w:r>
            <w:r>
              <w:rPr>
                <w:rFonts w:ascii="Times New Roman;Times;serif" w:hAnsi="Times New Roman;Times;serif"/>
                <w:b w:val="false"/>
                <w:i/>
                <w:sz w:val="22"/>
                <w:shd w:fill="FFFFFF" w:val="clear"/>
              </w:rPr>
              <w:t>re</w:t>
            </w:r>
            <w:r>
              <w:rPr>
                <w:caps w:val="false"/>
                <w:smallCaps w:val="false"/>
                <w:shd w:fill="FFFFFF" w:val="clear"/>
              </w:rPr>
              <w:t xml:space="preserve"> </w:t>
            </w:r>
            <w:r>
              <w:rPr>
                <w:rFonts w:ascii="Times New Roman;Times;serif" w:hAnsi="Times New Roman;Times;serif"/>
                <w:b w:val="false"/>
                <w:i w:val="false"/>
                <w:caps w:val="false"/>
                <w:smallCaps w:val="false"/>
                <w:sz w:val="22"/>
                <w:shd w:fill="FFFFFF" w:val="clear"/>
              </w:rPr>
              <w:t xml:space="preserve">from unconsolidated joint ventures; and </w:t>
            </w:r>
          </w:p>
        </w:tc>
      </w:tr>
    </w:tbl>
    <w:tbl>
      <w:tblPr>
        <w:tblW w:w="4818" w:type="dxa"/>
        <w:jc w:val="left"/>
        <w:tblInd w:w="0" w:type="dxa"/>
        <w:tblLayout w:type="fixed"/>
        <w:tblCellMar>
          <w:top w:w="0" w:type="dxa"/>
          <w:left w:w="0" w:type="dxa"/>
          <w:bottom w:w="0" w:type="dxa"/>
          <w:right w:w="0" w:type="dxa"/>
        </w:tblCellMar>
      </w:tblPr>
      <w:tblGrid>
        <w:gridCol w:w="23"/>
        <w:gridCol w:w="170"/>
        <w:gridCol w:w="46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shd w:fill="FFFFFF" w:val="clear"/>
              </w:rPr>
            </w:pPr>
            <w:r>
              <w:rPr>
                <w:rFonts w:ascii="Times New Roman;Times;serif" w:hAnsi="Times New Roman;Times;serif"/>
                <w:b w:val="false"/>
                <w:i w:val="false"/>
                <w:caps w:val="false"/>
                <w:smallCaps w:val="false"/>
                <w:sz w:val="22"/>
                <w:shd w:fill="FFFFFF" w:val="clear"/>
              </w:rPr>
              <w:t xml:space="preserve">any other adjustments we have identified herein. </w:t>
            </w:r>
          </w:p>
        </w:tc>
      </w:tr>
    </w:tbl>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shd w:fill="FFFFFF" w:val="clear"/>
        </w:rPr>
        <w:t>We then exclude the pro rata share of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related to noncontrolling interests to calculate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Excluding Noncontrolling Interest.</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shd w:fill="FFFFFF" w:val="clear"/>
        </w:rPr>
        <w:t>We use EBITDA</w:t>
      </w:r>
      <w:r>
        <w:rPr>
          <w:rFonts w:ascii="Times New Roman;Times;serif" w:hAnsi="Times New Roman;Times;serif"/>
          <w:i/>
          <w:sz w:val="22"/>
          <w:shd w:fill="FFFFFF" w:val="clear"/>
        </w:rPr>
        <w:t>re</w:t>
      </w:r>
      <w:r>
        <w:rPr>
          <w:rFonts w:ascii="Times New Roman;Times;serif" w:hAnsi="Times New Roman;Times;serif"/>
          <w:sz w:val="22"/>
          <w:shd w:fill="FFFFFF" w:val="clear"/>
        </w:rPr>
        <w:t>,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and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Excluding Noncontrolling Interest and segment or property-level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and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or operating income, as applicable, is beneficial to an investor’s complete understanding of our operating performance. We make additional adjustments to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when evaluating our performance because we believe that presenting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xml:space="preserve"> and Adjusted EBITDA</w:t>
      </w:r>
      <w:r>
        <w:rPr>
          <w:rFonts w:ascii="Times New Roman;Times;serif" w:hAnsi="Times New Roman;Times;serif"/>
          <w:i/>
          <w:sz w:val="22"/>
          <w:shd w:fill="FFFFFF" w:val="clear"/>
        </w:rPr>
        <w:t>re</w:t>
      </w:r>
      <w:r>
        <w:rPr>
          <w:rFonts w:ascii="Times New Roman;Times;serif" w:hAnsi="Times New Roman;Times;serif"/>
          <w:sz w:val="22"/>
          <w:shd w:fill="FFFFFF" w:val="clear"/>
        </w:rPr>
        <w:t>, Excluding Noncontrolling Interest provides useful information to investors regarding our operating performance and debt leverage metrics.</w:t>
      </w:r>
    </w:p>
    <w:p>
      <w:pPr>
        <w:pStyle w:val="TextBody"/>
        <w:bidi w:val="0"/>
        <w:spacing w:lineRule="auto" w:line="429" w:before="0" w:after="0"/>
        <w:ind w:left="0" w:right="0" w:hanging="0"/>
        <w:jc w:val="both"/>
        <w:rPr>
          <w:rFonts w:ascii="Times New Roman;Times;serif" w:hAnsi="Times New Roman;Times;serif"/>
          <w:b/>
          <w:i/>
          <w:sz w:val="22"/>
        </w:rPr>
      </w:pPr>
      <w:r>
        <w:rPr>
          <w:rFonts w:ascii="Times New Roman;Times;serif" w:hAnsi="Times New Roman;Times;serif"/>
          <w:b/>
          <w:i/>
          <w:sz w:val="22"/>
        </w:rPr>
        <w:t>Adjusted EBITDAre Margin and Adjusted EBITDAre, Excluding Noncontrolling Interest Margin Definition</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We calculate consolidated Adjusted EBITDA</w:t>
      </w:r>
      <w:r>
        <w:rPr>
          <w:rFonts w:ascii="Times New Roman;Times;serif" w:hAnsi="Times New Roman;Times;serif"/>
          <w:i/>
          <w:sz w:val="22"/>
        </w:rPr>
        <w:t>re</w:t>
      </w:r>
      <w:r>
        <w:rPr>
          <w:rFonts w:ascii="Times New Roman;Times;serif" w:hAnsi="Times New Roman;Times;serif"/>
          <w:sz w:val="22"/>
        </w:rPr>
        <w:t>, Excluding Noncontrolling Interest Margin by dividing consolidated Adjusted EBITDA</w:t>
      </w:r>
      <w:r>
        <w:rPr>
          <w:rFonts w:ascii="Times New Roman;Times;serif" w:hAnsi="Times New Roman;Times;serif"/>
          <w:i/>
          <w:sz w:val="22"/>
        </w:rPr>
        <w:t>re</w:t>
      </w:r>
      <w:r>
        <w:rPr>
          <w:rFonts w:ascii="Times New Roman;Times;serif" w:hAnsi="Times New Roman;Times;serif"/>
          <w:sz w:val="22"/>
        </w:rPr>
        <w:t>, Excluding Noncontrolling Interest by GAAP consolidated total revenue. We calculate consolidated, segment or property-level Adjusted EBITDA</w:t>
      </w:r>
      <w:r>
        <w:rPr>
          <w:rFonts w:ascii="Times New Roman;Times;serif" w:hAnsi="Times New Roman;Times;serif"/>
          <w:i/>
          <w:sz w:val="22"/>
        </w:rPr>
        <w:t>re</w:t>
      </w:r>
      <w:r>
        <w:rPr>
          <w:rFonts w:ascii="Times New Roman;Times;serif" w:hAnsi="Times New Roman;Times;serif"/>
          <w:sz w:val="22"/>
        </w:rPr>
        <w:t xml:space="preserve"> Margin by dividing consolidated, segment-, or property-level Adjusted EBITDA</w:t>
      </w:r>
      <w:r>
        <w:rPr>
          <w:rFonts w:ascii="Times New Roman;Times;serif" w:hAnsi="Times New Roman;Times;serif"/>
          <w:i/>
          <w:sz w:val="22"/>
        </w:rPr>
        <w:t>re</w:t>
      </w:r>
      <w:r>
        <w:rPr>
          <w:rFonts w:ascii="Times New Roman;Times;serif" w:hAnsi="Times New Roman;Times;serif"/>
          <w:sz w:val="22"/>
        </w:rPr>
        <w:t xml:space="preserve"> by consolidated, segment-, or property-level GAAP revenue. We believe Adjusted EBITDA</w:t>
      </w:r>
      <w:r>
        <w:rPr>
          <w:rFonts w:ascii="Times New Roman;Times;serif" w:hAnsi="Times New Roman;Times;serif"/>
          <w:i/>
          <w:sz w:val="22"/>
        </w:rPr>
        <w:t>re</w:t>
      </w:r>
      <w:r>
        <w:rPr>
          <w:rFonts w:ascii="Times New Roman;Times;serif" w:hAnsi="Times New Roman;Times;serif"/>
          <w:sz w:val="22"/>
        </w:rPr>
        <w:t>, Excluding Noncontrolling Interest Margin is useful to investors in evaluating our operating performance because this non-GAAP financial measure helps investors evaluate and compare the results of our operations from period to period by presenting a ratio showing the quantitative relationship between Adjusted EBITDA</w:t>
      </w:r>
      <w:r>
        <w:rPr>
          <w:rFonts w:ascii="Times New Roman;Times;serif" w:hAnsi="Times New Roman;Times;serif"/>
          <w:i/>
          <w:sz w:val="22"/>
        </w:rPr>
        <w:t>re</w:t>
      </w:r>
      <w:r>
        <w:rPr>
          <w:rFonts w:ascii="Times New Roman;Times;serif" w:hAnsi="Times New Roman;Times;serif"/>
          <w:sz w:val="22"/>
        </w:rPr>
        <w:t xml:space="preserve">, Excluding Noncontrolling Interest and GAAP consolidated total revenue or segment or property-level GAAP revenue, as applicable. </w:t>
      </w:r>
    </w:p>
    <w:p>
      <w:pPr>
        <w:pStyle w:val="TextBody"/>
        <w:bidi w:val="0"/>
        <w:spacing w:lineRule="auto" w:line="429" w:before="0" w:after="0"/>
        <w:ind w:left="0" w:right="0" w:hanging="0"/>
        <w:jc w:val="both"/>
        <w:rPr>
          <w:rFonts w:ascii="Times New Roman;Times;serif" w:hAnsi="Times New Roman;Times;serif"/>
          <w:b/>
          <w:i/>
          <w:sz w:val="22"/>
        </w:rPr>
      </w:pPr>
      <w:r>
        <w:rPr>
          <w:rFonts w:ascii="Times New Roman;Times;serif" w:hAnsi="Times New Roman;Times;serif"/>
          <w:b/>
          <w:i/>
          <w:sz w:val="22"/>
        </w:rPr>
        <w:t>FFO, Adjusted FFO, and Adjusted FFO Available to Common Stockholders and Unit Holders Definition</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We calculate FFO,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p>
      <w:pPr>
        <w:pStyle w:val="HorizontalLine"/>
        <w:pBdr>
          <w:bottom w:val="double" w:sz="2" w:space="0" w:color="808080"/>
        </w:pBdr>
        <w:bidi w:val="0"/>
        <w:spacing w:before="0" w:after="283"/>
        <w:jc w:val="left"/>
        <w:rPr/>
      </w:pPr>
      <w:r>
        <w:rPr/>
      </w:r>
    </w:p>
    <w:p>
      <w:pPr>
        <w:pStyle w:val="TextBody"/>
        <w:bidi w:val="0"/>
        <w:spacing w:lineRule="auto" w:line="429" w:before="0" w:after="120"/>
        <w:ind w:left="0" w:right="0" w:hanging="0"/>
        <w:jc w:val="both"/>
        <w:rPr>
          <w:rFonts w:ascii="Times New Roman;Times;serif" w:hAnsi="Times New Roman;Times;serif"/>
          <w:sz w:val="22"/>
        </w:rPr>
      </w:pPr>
      <w:r>
        <w:rPr>
          <w:rFonts w:ascii="Times New Roman;Times;serif" w:hAnsi="Times New Roman;Times;serif"/>
          <w:sz w:val="22"/>
        </w:rPr>
        <w:t>To calculate Adjusted FFO available to common stockholders and unit holders, we then exclude, to the extent the following adjustments occurred during the periods presented:</w:t>
      </w:r>
    </w:p>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right-of-use asset amortization;</w:t>
            </w:r>
          </w:p>
        </w:tc>
      </w:tr>
    </w:tbl>
    <w:tbl>
      <w:tblPr>
        <w:tblW w:w="6513" w:type="dxa"/>
        <w:jc w:val="left"/>
        <w:tblInd w:w="0" w:type="dxa"/>
        <w:tblLayout w:type="fixed"/>
        <w:tblCellMar>
          <w:top w:w="0" w:type="dxa"/>
          <w:left w:w="0" w:type="dxa"/>
          <w:bottom w:w="0" w:type="dxa"/>
          <w:right w:w="0" w:type="dxa"/>
        </w:tblCellMar>
      </w:tblPr>
      <w:tblGrid>
        <w:gridCol w:w="23"/>
        <w:gridCol w:w="170"/>
        <w:gridCol w:w="6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impairment charges that do not meet the NAREIT definition above;</w:t>
            </w:r>
          </w:p>
        </w:tc>
      </w:tr>
    </w:tbl>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write-offs of deferred financing costs;</w:t>
            </w:r>
          </w:p>
        </w:tc>
      </w:tr>
    </w:tbl>
    <w:tbl>
      <w:tblPr>
        <w:tblW w:w="8553" w:type="dxa"/>
        <w:jc w:val="left"/>
        <w:tblInd w:w="0" w:type="dxa"/>
        <w:tblLayout w:type="fixed"/>
        <w:tblCellMar>
          <w:top w:w="0" w:type="dxa"/>
          <w:left w:w="0" w:type="dxa"/>
          <w:bottom w:w="0" w:type="dxa"/>
          <w:right w:w="0" w:type="dxa"/>
        </w:tblCellMar>
      </w:tblPr>
      <w:tblGrid>
        <w:gridCol w:w="23"/>
        <w:gridCol w:w="17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amortization of debt discounts or premiums and amortization of deferred financing costs;</w:t>
            </w:r>
          </w:p>
        </w:tc>
      </w:tr>
    </w:tbl>
    <w:tbl>
      <w:tblPr>
        <w:tblW w:w="3153" w:type="dxa"/>
        <w:jc w:val="left"/>
        <w:tblInd w:w="0" w:type="dxa"/>
        <w:tblLayout w:type="fixed"/>
        <w:tblCellMar>
          <w:top w:w="0" w:type="dxa"/>
          <w:left w:w="0" w:type="dxa"/>
          <w:bottom w:w="0" w:type="dxa"/>
          <w:right w:w="0" w:type="dxa"/>
        </w:tblCellMar>
      </w:tblPr>
      <w:tblGrid>
        <w:gridCol w:w="23"/>
        <w:gridCol w:w="170"/>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loss on extinguishment of debt;</w:t>
            </w:r>
          </w:p>
        </w:tc>
      </w:tr>
    </w:tbl>
    <w:tbl>
      <w:tblPr>
        <w:tblW w:w="2478" w:type="dxa"/>
        <w:jc w:val="left"/>
        <w:tblInd w:w="0" w:type="dxa"/>
        <w:tblLayout w:type="fixed"/>
        <w:tblCellMar>
          <w:top w:w="0" w:type="dxa"/>
          <w:left w:w="0" w:type="dxa"/>
          <w:bottom w:w="0" w:type="dxa"/>
          <w:right w:w="0" w:type="dxa"/>
        </w:tblCellMar>
      </w:tblPr>
      <w:tblGrid>
        <w:gridCol w:w="23"/>
        <w:gridCol w:w="170"/>
        <w:gridCol w:w="22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non-cash lease expense;</w:t>
            </w:r>
          </w:p>
        </w:tc>
      </w:tr>
    </w:tbl>
    <w:tbl>
      <w:tblPr>
        <w:tblW w:w="4023" w:type="dxa"/>
        <w:jc w:val="left"/>
        <w:tblInd w:w="0" w:type="dxa"/>
        <w:tblLayout w:type="fixed"/>
        <w:tblCellMar>
          <w:top w:w="0" w:type="dxa"/>
          <w:left w:w="0" w:type="dxa"/>
          <w:bottom w:w="0" w:type="dxa"/>
          <w:right w:w="0" w:type="dxa"/>
        </w:tblCellMar>
      </w:tblPr>
      <w:tblGrid>
        <w:gridCol w:w="23"/>
        <w:gridCol w:w="170"/>
        <w:gridCol w:w="3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credit loss on held-to-maturity securities;</w:t>
            </w:r>
          </w:p>
        </w:tc>
      </w:tr>
    </w:tbl>
    <w:tbl>
      <w:tblPr>
        <w:tblW w:w="2793" w:type="dxa"/>
        <w:jc w:val="left"/>
        <w:tblInd w:w="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pension settlement charges;</w:t>
            </w:r>
          </w:p>
        </w:tc>
      </w:tr>
    </w:tbl>
    <w:tbl>
      <w:tblPr>
        <w:tblW w:w="6483" w:type="dxa"/>
        <w:jc w:val="left"/>
        <w:tblInd w:w="0" w:type="dxa"/>
        <w:tblLayout w:type="fixed"/>
        <w:tblCellMar>
          <w:top w:w="0" w:type="dxa"/>
          <w:left w:w="0" w:type="dxa"/>
          <w:bottom w:w="0" w:type="dxa"/>
          <w:right w:w="0" w:type="dxa"/>
        </w:tblCellMar>
      </w:tblPr>
      <w:tblGrid>
        <w:gridCol w:w="23"/>
        <w:gridCol w:w="170"/>
        <w:gridCol w:w="62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additional pro rata adjustments from unconsolidated joint ventures;</w:t>
            </w:r>
          </w:p>
        </w:tc>
      </w:tr>
    </w:tbl>
    <w:tbl>
      <w:tblPr>
        <w:tblW w:w="2973" w:type="dxa"/>
        <w:jc w:val="left"/>
        <w:tblInd w:w="0" w:type="dxa"/>
        <w:tblLayout w:type="fixed"/>
        <w:tblCellMar>
          <w:top w:w="0" w:type="dxa"/>
          <w:left w:w="0" w:type="dxa"/>
          <w:bottom w:w="0" w:type="dxa"/>
          <w:right w:w="0" w:type="dxa"/>
        </w:tblCellMar>
      </w:tblPr>
      <w:tblGrid>
        <w:gridCol w:w="23"/>
        <w:gridCol w:w="170"/>
        <w:gridCol w:w="2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(gains) losses on other assets;</w:t>
            </w:r>
          </w:p>
        </w:tc>
      </w:tr>
    </w:tbl>
    <w:tbl>
      <w:tblPr>
        <w:tblW w:w="3243" w:type="dxa"/>
        <w:jc w:val="left"/>
        <w:tblInd w:w="0" w:type="dxa"/>
        <w:tblLayout w:type="fixed"/>
        <w:tblCellMar>
          <w:top w:w="0" w:type="dxa"/>
          <w:left w:w="0" w:type="dxa"/>
          <w:bottom w:w="0" w:type="dxa"/>
          <w:right w:w="0" w:type="dxa"/>
        </w:tblCellMar>
      </w:tblPr>
      <w:tblGrid>
        <w:gridCol w:w="23"/>
        <w:gridCol w:w="170"/>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transaction costs of acquisitions;</w:t>
            </w:r>
          </w:p>
        </w:tc>
      </w:tr>
    </w:tbl>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deferred income tax expense (benefit); and</w:t>
            </w:r>
          </w:p>
        </w:tc>
      </w:tr>
    </w:tbl>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other adjustments we have identified herein.</w:t>
            </w:r>
          </w:p>
        </w:tc>
      </w:tr>
    </w:tbl>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FFO available to common stockholders and unit holders and Adjusted FFO available to common stockholders and unit holders exclude the ownership portion of the joint ventures not controlled or owned by the Company.</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We present Adjusted FFO available to common stockholders and unit holders per diluted share/unit as a non-GAAP measure of our performance in addition to net income available to common stockholders per diluted share (calculated in accordance with GAAP). We calculate Adjusted FFO available to common stockholders and unit holders per diluted share/unit as Adjusted FFO (defined as set forth above) for a given operating period, as adjusted for the effect of dilutive securities, divided by the number of diluted shares and units outstanding during such period.</w:t>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pStyle w:val="TextBody"/>
        <w:bidi w:val="0"/>
        <w:spacing w:lineRule="auto" w:line="429" w:before="0" w:after="0"/>
        <w:ind w:left="0" w:right="0" w:hanging="0"/>
        <w:jc w:val="both"/>
        <w:rPr>
          <w:rFonts w:ascii="Times New Roman;Times;serif" w:hAnsi="Times New Roman;Times;serif"/>
          <w:sz w:val="22"/>
        </w:rPr>
      </w:pPr>
      <w:r>
        <w:rPr>
          <w:rFonts w:ascii="Times New Roman;Times;serif" w:hAnsi="Times New Roman;Times;serif"/>
          <w:sz w:val="22"/>
        </w:rPr>
        <w:t xml:space="preserve">We caution investors that non-GAAP financial measures we present may not be comparable to similar measures disclosed by other companies, because not all companies calculate these non-GAAP measures in the same manner. The non-GAAP financial measures we present, and any related per share measures,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p>
      <w:pPr>
        <w:pStyle w:val="HorizontalLine"/>
        <w:pBdr>
          <w:bottom w:val="double" w:sz="2" w:space="0" w:color="808080"/>
        </w:pBdr>
        <w:bidi w:val="0"/>
        <w:spacing w:before="0" w:after="283"/>
        <w:jc w:val="left"/>
        <w:rPr/>
      </w:pPr>
      <w:r>
        <w:rPr/>
      </w:r>
    </w:p>
    <w:p>
      <w:pPr>
        <w:pStyle w:val="TextBody"/>
        <w:bidi w:val="0"/>
        <w:spacing w:lineRule="auto" w:line="429" w:before="0" w:after="240"/>
        <w:ind w:left="0" w:right="0" w:hanging="0"/>
        <w:jc w:val="both"/>
        <w:rPr>
          <w:rFonts w:ascii="Times New Roman;Times;serif" w:hAnsi="Times New Roman;Times;serif"/>
          <w:sz w:val="22"/>
        </w:rPr>
      </w:pPr>
      <w:r>
        <w:rPr>
          <w:rFonts w:ascii="Times New Roman;Times;serif" w:hAnsi="Times New Roman;Times;serif"/>
          <w:sz w:val="22"/>
        </w:rPr>
        <w:t>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0"/>
        <w:gridCol w:w="5665"/>
      </w:tblGrid>
      <w:tr>
        <w:trPr/>
        <w:tc>
          <w:tcPr>
            <w:tcW w:w="4540"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Investor Relations Contacts:</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Mark Fioravanti, President and Chief Executive Officer</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(615) 316-6588</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mfioravanti@rymanhp.com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Jennifer Hutcheson, Chief Financial Officer</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(615) 316-6320</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jhutcheson@rymanhp.com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Sarah Martin, Vice President, Investor Relations</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(615) 316-6011</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sarah.martin@rymanhp.com</w:t>
            </w:r>
          </w:p>
        </w:tc>
        <w:tc>
          <w:tcPr>
            <w:tcW w:w="5665"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Media Contact: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Shannon Sullivan, Vice President, Corporate and Brand Communications</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(615) 316-6725</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ssullivan@rymanhp.com</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Condensed Consolidated Statements of Operations</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(In thousands, except per share data)</w:t>
      </w:r>
    </w:p>
    <w:tbl>
      <w:tblPr>
        <w:tblW w:w="10205" w:type="dxa"/>
        <w:jc w:val="left"/>
        <w:tblInd w:w="0" w:type="dxa"/>
        <w:tblLayout w:type="fixed"/>
        <w:tblCellMar>
          <w:top w:w="0" w:type="dxa"/>
          <w:left w:w="0" w:type="dxa"/>
          <w:bottom w:w="0" w:type="dxa"/>
          <w:right w:w="0" w:type="dxa"/>
        </w:tblCellMar>
      </w:tblPr>
      <w:tblGrid>
        <w:gridCol w:w="4483"/>
        <w:gridCol w:w="346"/>
        <w:gridCol w:w="211"/>
        <w:gridCol w:w="793"/>
        <w:gridCol w:w="346"/>
        <w:gridCol w:w="211"/>
        <w:gridCol w:w="793"/>
        <w:gridCol w:w="346"/>
        <w:gridCol w:w="211"/>
        <w:gridCol w:w="931"/>
        <w:gridCol w:w="346"/>
        <w:gridCol w:w="211"/>
        <w:gridCol w:w="977"/>
      </w:tblGrid>
      <w:tr>
        <w:trPr/>
        <w:tc>
          <w:tcPr>
            <w:tcW w:w="4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846705" cy="175260"/>
                      <wp:effectExtent l="0" t="0" r="0" b="0"/>
                      <wp:wrapNone/>
                      <wp:docPr id="280" name="Frame279"/>
                      <a:graphic xmlns:a="http://schemas.openxmlformats.org/drawingml/2006/main">
                        <a:graphicData uri="http://schemas.microsoft.com/office/word/2010/wordprocessingShape">
                          <wps:wsp>
                            <wps:cNvSpPr txBox="1"/>
                            <wps:spPr>
                              <a:xfrm>
                                <a:off x="0" y="0"/>
                                <a:ext cx="284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3555" cy="175260"/>
                      <wp:effectExtent l="0" t="0" r="0" b="0"/>
                      <wp:wrapNone/>
                      <wp:docPr id="283" name="Frame28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03555" cy="175260"/>
                      <wp:effectExtent l="0" t="0" r="0" b="0"/>
                      <wp:wrapNone/>
                      <wp:docPr id="286" name="Frame28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91185" cy="175260"/>
                      <wp:effectExtent l="0" t="0" r="0" b="0"/>
                      <wp:wrapNone/>
                      <wp:docPr id="289" name="Frame2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20395" cy="175260"/>
                      <wp:effectExtent l="0" t="0" r="0" b="0"/>
                      <wp:wrapNone/>
                      <wp:docPr id="292" name="Frame29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6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6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  ​</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Rooms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232,366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200,900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390,132</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Food and beverage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296,437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585,784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503,654</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hotel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76,161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64,920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148,445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120,155</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Entertainment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223,197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232,854</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748,978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659,515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1,413,550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1,246,795</w:t>
            </w:r>
          </w:p>
        </w:tc>
      </w:tr>
      <w:tr>
        <w:trPr/>
        <w:tc>
          <w:tcPr>
            <w:tcW w:w="4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left"/>
              <w:rPr/>
            </w:pPr>
            <w:r>
              <w:rPr/>
              <w:t>​</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Rooms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47,238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93,527</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Food and beverage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159,120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136,152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317,283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274,291</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hotel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254,512</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Management fees,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43,057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36,379</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hotel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384,103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758,397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658,709</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Entertainment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101,563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110,376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166,672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180,146</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Corporate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21,529</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Preopening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130,680</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574,433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520,090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1,101,209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991,249</w:t>
            </w:r>
          </w:p>
        </w:tc>
      </w:tr>
      <w:tr>
        <w:trPr/>
        <w:tc>
          <w:tcPr>
            <w:tcW w:w="4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174,545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139,425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312,341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255,546</w:t>
            </w:r>
          </w:p>
        </w:tc>
      </w:tr>
      <w:tr>
        <w:trPr/>
        <w:tc>
          <w:tcPr>
            <w:tcW w:w="4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expense, net of amounts capitalized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(63,875)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(58,534)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(127,994)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(112,817)</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11,042</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(loss) from unconsolidated joint ventures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114,142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83,723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190,443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150,896</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(12,007)</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102,079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171,481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138,889</w:t>
            </w:r>
          </w:p>
        </w:tc>
      </w:tr>
      <w:tr>
        <w:trPr/>
        <w:tc>
          <w:tcPr>
            <w:tcW w:w="4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noncontrolling interest in OEG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(2,805)</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other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(1,370)</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134,714</w:t>
            </w:r>
          </w:p>
        </w:tc>
      </w:tr>
      <w:tr>
        <w:trPr/>
        <w:tc>
          <w:tcPr>
            <w:tcW w:w="44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Basic income per share available to common stockholders</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Diluted income per share available to common stockholders</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w:t>
            </w:r>
          </w:p>
        </w:tc>
      </w:tr>
      <w:tr>
        <w:trPr/>
        <w:tc>
          <w:tcPr>
            <w:tcW w:w="44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common shares for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pPr>
            <w:r>
              <w:rPr/>
              <w:t>​</w:t>
            </w:r>
          </w:p>
        </w:tc>
      </w:tr>
      <w:tr>
        <w:trPr/>
        <w:tc>
          <w:tcPr>
            <w:tcW w:w="44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Basic</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60,639</w:t>
            </w:r>
          </w:p>
        </w:tc>
      </w:tr>
      <w:tr>
        <w:trPr/>
        <w:tc>
          <w:tcPr>
            <w:tcW w:w="448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Diluted</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68,143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65,732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67,799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64,577</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 and diluted weighted average common shares for the three and six months ended June 30, 2026 and 2025 includes the impact of approximately 3.0 million additional shares issued on May 21, 2025. Diluted weighted average common shares for the three months ended June 30, 2026 and 2025 include 4.9 million and 4.2 million, respectively, and for the six months ended June 30, 2026 and 2025 include 4.5 million and 3.7 million, respectively, in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Condensed Consolidated Balance Sheets</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(In thousands)</w:t>
      </w:r>
    </w:p>
    <w:tbl>
      <w:tblPr>
        <w:tblW w:w="7852" w:type="dxa"/>
        <w:jc w:val="left"/>
        <w:tblInd w:w="0" w:type="dxa"/>
        <w:tblLayout w:type="fixed"/>
        <w:tblCellMar>
          <w:top w:w="0" w:type="dxa"/>
          <w:left w:w="0" w:type="dxa"/>
          <w:bottom w:w="0" w:type="dxa"/>
          <w:right w:w="0" w:type="dxa"/>
        </w:tblCellMar>
      </w:tblPr>
      <w:tblGrid>
        <w:gridCol w:w="4771"/>
        <w:gridCol w:w="346"/>
        <w:gridCol w:w="211"/>
        <w:gridCol w:w="931"/>
        <w:gridCol w:w="346"/>
        <w:gridCol w:w="211"/>
        <w:gridCol w:w="103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029585" cy="175260"/>
                      <wp:effectExtent l="0" t="0" r="0" b="0"/>
                      <wp:wrapNone/>
                      <wp:docPr id="293" name="Frame292"/>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91185" cy="175260"/>
                      <wp:effectExtent l="0" t="0" r="0" b="0"/>
                      <wp:wrapNone/>
                      <wp:docPr id="296" name="Frame2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57860" cy="175260"/>
                      <wp:effectExtent l="0" t="0" r="0" b="0"/>
                      <wp:wrapNone/>
                      <wp:docPr id="299" name="Frame2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Property and equipment, net of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5,078,259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4,970,429</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 unrestricted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366,125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471,421</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 restricted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31,695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28,759</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53,634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53,503</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Trade receivables,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122,120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105,903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67,669</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211,266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196,798</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Intangible assets and goodwill,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286,701</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6,191,836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6,181,183</w:t>
            </w:r>
          </w:p>
        </w:tc>
      </w:tr>
      <w:tr>
        <w:trPr/>
        <w:tc>
          <w:tcPr>
            <w:tcW w:w="47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Debt and finance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3,969,453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3,976,913</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505,529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517,708</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Distributions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78,819</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management rights proceeds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162,541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162,901</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163,143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158,815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77,745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74,251</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 in OEG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444,096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422,691</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791,100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789,085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6,191,836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6,181,183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Supplemental Financial Results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r>
        <w:rPr>
          <w:rFonts w:ascii="Times New Roman;Times;serif" w:hAnsi="Times New Roman;Times;serif"/>
          <w:sz w:val="18"/>
        </w:rPr>
        <w:t xml:space="preserve"> </w:t>
      </w:r>
      <w:r>
        <w:rPr>
          <w:rFonts w:ascii="Times New Roman;Times;serif" w:hAnsi="Times New Roman;Times;serif"/>
          <w:b/>
          <w:sz w:val="19"/>
        </w:rPr>
        <w:t>Reconciliation</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(In thousands)</w:t>
      </w:r>
    </w:p>
    <w:tbl>
      <w:tblPr>
        <w:tblW w:w="10205" w:type="dxa"/>
        <w:jc w:val="center"/>
        <w:tblInd w:w="0" w:type="dxa"/>
        <w:tblLayout w:type="fixed"/>
        <w:tblCellMar>
          <w:top w:w="0" w:type="dxa"/>
          <w:left w:w="0" w:type="dxa"/>
          <w:bottom w:w="0" w:type="dxa"/>
          <w:right w:w="0" w:type="dxa"/>
        </w:tblCellMar>
      </w:tblPr>
      <w:tblGrid>
        <w:gridCol w:w="3017"/>
        <w:gridCol w:w="109"/>
        <w:gridCol w:w="181"/>
        <w:gridCol w:w="611"/>
        <w:gridCol w:w="109"/>
        <w:gridCol w:w="376"/>
        <w:gridCol w:w="226"/>
        <w:gridCol w:w="346"/>
        <w:gridCol w:w="181"/>
        <w:gridCol w:w="611"/>
        <w:gridCol w:w="109"/>
        <w:gridCol w:w="376"/>
        <w:gridCol w:w="226"/>
        <w:gridCol w:w="109"/>
        <w:gridCol w:w="181"/>
        <w:gridCol w:w="721"/>
        <w:gridCol w:w="109"/>
        <w:gridCol w:w="376"/>
        <w:gridCol w:w="226"/>
        <w:gridCol w:w="346"/>
        <w:gridCol w:w="181"/>
        <w:gridCol w:w="721"/>
        <w:gridCol w:w="109"/>
        <w:gridCol w:w="376"/>
        <w:gridCol w:w="272"/>
      </w:tblGrid>
      <w:tr>
        <w:trPr/>
        <w:tc>
          <w:tcPr>
            <w:tcW w:w="3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915795" cy="175260"/>
                      <wp:effectExtent l="0" t="0" r="0" b="0"/>
                      <wp:wrapNone/>
                      <wp:docPr id="300" name="Frame299"/>
                      <a:graphic xmlns:a="http://schemas.openxmlformats.org/drawingml/2006/main">
                        <a:graphicData uri="http://schemas.microsoft.com/office/word/2010/wordprocessingShape">
                          <wps:wsp>
                            <wps:cNvSpPr txBox="1"/>
                            <wps:spPr>
                              <a:xfrm>
                                <a:off x="0" y="0"/>
                                <a:ext cx="191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14935" cy="175260"/>
                      <wp:effectExtent l="0" t="0" r="0" b="0"/>
                      <wp:wrapNone/>
                      <wp:docPr id="302" name="Frame3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87985" cy="175260"/>
                      <wp:effectExtent l="0" t="0" r="0" b="0"/>
                      <wp:wrapNone/>
                      <wp:docPr id="303" name="Frame30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38760" cy="175260"/>
                      <wp:effectExtent l="0" t="0" r="0" b="0"/>
                      <wp:wrapNone/>
                      <wp:docPr id="305" name="Frame30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43510" cy="175260"/>
                      <wp:effectExtent l="0" t="0" r="0" b="0"/>
                      <wp:wrapNone/>
                      <wp:docPr id="306" name="Frame3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14935" cy="175260"/>
                      <wp:effectExtent l="0" t="0" r="0" b="0"/>
                      <wp:wrapNone/>
                      <wp:docPr id="308" name="Frame30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87985" cy="175260"/>
                      <wp:effectExtent l="0" t="0" r="0" b="0"/>
                      <wp:wrapNone/>
                      <wp:docPr id="309" name="Frame308"/>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38760" cy="175260"/>
                      <wp:effectExtent l="0" t="0" r="0" b="0"/>
                      <wp:wrapNone/>
                      <wp:docPr id="311" name="Frame31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3510" cy="175260"/>
                      <wp:effectExtent l="0" t="0" r="0" b="0"/>
                      <wp:wrapNone/>
                      <wp:docPr id="312" name="Frame3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14935" cy="175260"/>
                      <wp:effectExtent l="0" t="0" r="0" b="0"/>
                      <wp:wrapNone/>
                      <wp:docPr id="314" name="Frame31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57835" cy="175260"/>
                      <wp:effectExtent l="0" t="0" r="0" b="0"/>
                      <wp:wrapNone/>
                      <wp:docPr id="315" name="Frame3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38760" cy="175260"/>
                      <wp:effectExtent l="0" t="0" r="0" b="0"/>
                      <wp:wrapNone/>
                      <wp:docPr id="317" name="Frame31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43510" cy="175260"/>
                      <wp:effectExtent l="0" t="0" r="0" b="0"/>
                      <wp:wrapNone/>
                      <wp:docPr id="318" name="Frame3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14935" cy="175260"/>
                      <wp:effectExtent l="0" t="0" r="0" b="0"/>
                      <wp:wrapNone/>
                      <wp:docPr id="320" name="Frame3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57835" cy="175260"/>
                      <wp:effectExtent l="0" t="0" r="0" b="0"/>
                      <wp:wrapNone/>
                      <wp:docPr id="321" name="Frame32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38760" cy="175260"/>
                      <wp:effectExtent l="0" t="0" r="0" b="0"/>
                      <wp:wrapNone/>
                      <wp:docPr id="323" name="Frame32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72720" cy="175260"/>
                      <wp:effectExtent l="0" t="0" r="0" b="0"/>
                      <wp:wrapNone/>
                      <wp:docPr id="324" name="Frame32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52" w:type="dxa"/>
            <w:gridSpan w:val="11"/>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3618" w:type="dxa"/>
            <w:gridSpan w:val="11"/>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Six Months Ended </w:t>
            </w:r>
          </w:p>
        </w:tc>
      </w:tr>
      <w:tr>
        <w:trPr/>
        <w:tc>
          <w:tcPr>
            <w:tcW w:w="30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5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w:t>
            </w:r>
          </w:p>
        </w:tc>
        <w:tc>
          <w:tcPr>
            <w:tcW w:w="109" w:type="dxa"/>
            <w:tcBorders/>
            <w:vAlign w:val="center"/>
          </w:tcPr>
          <w:p>
            <w:pPr>
              <w:pStyle w:val="TableContents"/>
              <w:bidi w:val="0"/>
              <w:spacing w:before="0" w:after="0"/>
              <w:ind w:left="0" w:right="0" w:hanging="0"/>
              <w:jc w:val="left"/>
              <w:rPr/>
            </w:pPr>
            <w:r>
              <w:rPr/>
              <w:t>​</w:t>
            </w:r>
          </w:p>
        </w:tc>
        <w:tc>
          <w:tcPr>
            <w:tcW w:w="361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w:t>
            </w:r>
          </w:p>
        </w:tc>
      </w:tr>
      <w:tr>
        <w:trPr/>
        <w:tc>
          <w:tcPr>
            <w:tcW w:w="30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0"/>
              <w:ind w:left="0" w:right="0" w:hanging="0"/>
              <w:jc w:val="left"/>
              <w:rPr/>
            </w:pPr>
            <w:r>
              <w:rPr/>
              <w:t>  ​ ​ ​</w:t>
            </w:r>
          </w:p>
        </w:tc>
        <w:tc>
          <w:tcPr>
            <w:tcW w:w="15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109" w:type="dxa"/>
            <w:tcBorders/>
            <w:vAlign w:val="center"/>
          </w:tcPr>
          <w:p>
            <w:pPr>
              <w:pStyle w:val="TableContents"/>
              <w:bidi w:val="0"/>
              <w:spacing w:before="0" w:after="0"/>
              <w:ind w:left="0" w:right="0" w:hanging="0"/>
              <w:jc w:val="left"/>
              <w:rPr/>
            </w:pPr>
            <w:r>
              <w:rPr/>
              <w:t>​</w:t>
            </w:r>
          </w:p>
        </w:tc>
        <w:tc>
          <w:tcPr>
            <w:tcW w:w="16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0"/>
              <w:ind w:left="0" w:right="0" w:hanging="0"/>
              <w:jc w:val="left"/>
              <w:rPr/>
            </w:pPr>
            <w:r>
              <w:rPr/>
              <w:t>  ​ ​ ​</w:t>
            </w:r>
          </w:p>
        </w:tc>
        <w:tc>
          <w:tcPr>
            <w:tcW w:w="16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30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109" w:type="dxa"/>
            <w:tcBorders/>
            <w:vAlign w:val="center"/>
          </w:tcPr>
          <w:p>
            <w:pPr>
              <w:pStyle w:val="TableContents"/>
              <w:bidi w:val="0"/>
              <w:spacing w:before="0" w:after="0"/>
              <w:ind w:left="0" w:right="0" w:hanging="0"/>
              <w:jc w:val="center"/>
              <w:rPr/>
            </w:pPr>
            <w:r>
              <w:rPr/>
              <w:t>​</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Margin</w:t>
            </w:r>
          </w:p>
        </w:tc>
        <w:tc>
          <w:tcPr>
            <w:tcW w:w="346" w:type="dxa"/>
            <w:tcBorders/>
            <w:vAlign w:val="center"/>
          </w:tcPr>
          <w:p>
            <w:pPr>
              <w:pStyle w:val="TableContents"/>
              <w:bidi w:val="0"/>
              <w:spacing w:before="0" w:after="0"/>
              <w:ind w:left="0" w:right="0" w:hanging="0"/>
              <w:jc w:val="left"/>
              <w:rPr/>
            </w:pPr>
            <w:r>
              <w:rPr/>
              <w:t>​</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109" w:type="dxa"/>
            <w:tcBorders/>
            <w:vAlign w:val="center"/>
          </w:tcPr>
          <w:p>
            <w:pPr>
              <w:pStyle w:val="TableContents"/>
              <w:bidi w:val="0"/>
              <w:spacing w:before="0" w:after="0"/>
              <w:ind w:left="0" w:right="0" w:hanging="0"/>
              <w:jc w:val="center"/>
              <w:rPr/>
            </w:pPr>
            <w:r>
              <w:rPr/>
              <w:t>​</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Margin</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109" w:type="dxa"/>
            <w:tcBorders/>
            <w:vAlign w:val="center"/>
          </w:tcPr>
          <w:p>
            <w:pPr>
              <w:pStyle w:val="TableContents"/>
              <w:bidi w:val="0"/>
              <w:spacing w:before="0" w:after="0"/>
              <w:ind w:left="0" w:right="0" w:hanging="0"/>
              <w:jc w:val="center"/>
              <w:rPr/>
            </w:pPr>
            <w:r>
              <w:rPr/>
              <w:t>​</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Margin</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t>
            </w:r>
          </w:p>
        </w:tc>
        <w:tc>
          <w:tcPr>
            <w:tcW w:w="109" w:type="dxa"/>
            <w:tcBorders/>
            <w:vAlign w:val="center"/>
          </w:tcPr>
          <w:p>
            <w:pPr>
              <w:pStyle w:val="TableContents"/>
              <w:bidi w:val="0"/>
              <w:spacing w:before="0" w:after="0"/>
              <w:ind w:left="0" w:right="0" w:hanging="0"/>
              <w:jc w:val="center"/>
              <w:rPr/>
            </w:pPr>
            <w:r>
              <w:rPr/>
              <w:t>​</w:t>
            </w:r>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Margin</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Revenue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748,978</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659,515</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1,413,550</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1,246,795</w:t>
            </w:r>
          </w:p>
        </w:tc>
        <w:tc>
          <w:tcPr>
            <w:tcW w:w="109"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102,079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75,875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171,481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138,889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expense, net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60,148</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52,951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119,081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101,775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12,063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7,848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18,962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12,007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77,084</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66,963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152,785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130,680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Pro rata EBITDA</w:t>
            </w:r>
            <w:r>
              <w:rPr>
                <w:rFonts w:ascii="Times New Roman;Times;serif" w:hAnsi="Times New Roman;Times;serif"/>
                <w:i/>
                <w:sz w:val="15"/>
              </w:rPr>
              <w:t>re</w:t>
            </w:r>
            <w:r>
              <w:rPr>
                <w:rFonts w:ascii="Times New Roman;Times;serif" w:hAnsi="Times New Roman;Times;serif"/>
                <w:sz w:val="14"/>
              </w:rPr>
              <w:t xml:space="preserve"> </w:t>
            </w:r>
            <w:r>
              <w:rPr>
                <w:rFonts w:ascii="Times New Roman;Times;serif" w:hAnsi="Times New Roman;Times;serif"/>
                <w:sz w:val="15"/>
              </w:rPr>
              <w:t>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EBITDA</w:t>
            </w:r>
            <w:r>
              <w:rPr>
                <w:rFonts w:ascii="Times New Roman;Times;serif" w:hAnsi="Times New Roman;Times;serif"/>
                <w:i/>
                <w:sz w:val="15"/>
              </w:rPr>
              <w:t>re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251,375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203,638</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30.9</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462,311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32.7</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383,353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30.7</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lease expense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1,649</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2,592</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1,834</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3,495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7,629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7,117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income on Gaylord National bonds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1,026</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2,227</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2,200</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Transaction costs of acquisitions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Pro rata adjusted EBITDA</w:t>
            </w:r>
            <w:r>
              <w:rPr>
                <w:rFonts w:ascii="Times New Roman;Times;serif" w:hAnsi="Times New Roman;Times;serif"/>
                <w:i/>
                <w:sz w:val="15"/>
              </w:rPr>
              <w:t>re</w:t>
            </w:r>
            <w:r>
              <w:rPr>
                <w:rFonts w:ascii="Times New Roman;Times;serif" w:hAnsi="Times New Roman;Times;serif"/>
                <w:sz w:val="14"/>
              </w:rPr>
              <w:t xml:space="preserve"> </w:t>
            </w:r>
            <w:r>
              <w:rPr>
                <w:rFonts w:ascii="Times New Roman;Times;serif" w:hAnsi="Times New Roman;Times;serif"/>
                <w:sz w:val="15"/>
              </w:rPr>
              <w:t>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258,311</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34.5</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211,856</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32.1</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477,604</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397,358</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r>
              <w:rPr>
                <w:rFonts w:ascii="Times New Roman;Times;serif" w:hAnsi="Times New Roman;Times;serif"/>
                <w:sz w:val="14"/>
              </w:rPr>
              <w:t xml:space="preserve"> </w:t>
            </w:r>
            <w:r>
              <w:rPr>
                <w:rFonts w:ascii="Times New Roman;Times;serif" w:hAnsi="Times New Roman;Times;serif"/>
                <w:sz w:val="15"/>
              </w:rPr>
              <w:t>of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(16,390)</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(11,295)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(20,547)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(16,921)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r>
              <w:rPr>
                <w:rFonts w:ascii="Times New Roman;Times;serif" w:hAnsi="Times New Roman;Times;serif"/>
                <w:sz w:val="15"/>
              </w:rPr>
              <w:t>, excluding noncontrolling interest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241,921</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32.3</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200,561</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30.4</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457,057</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32.3</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380,437</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Hospitality segment: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604,964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516,211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1,190,353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1,013,941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income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153,643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126,920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298,730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25.1</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243,729</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67,218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57,397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133,226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111,503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lease expense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gains and (losses), net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223,042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186,435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36.1</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435,612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359,409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35.4</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b/>
                <w:sz w:val="15"/>
              </w:rPr>
              <w:t>Same-store Hospitality segment:</w:t>
            </w:r>
            <w:r>
              <w:rPr>
                <w:rFonts w:ascii="Times New Roman;Times;serif" w:hAnsi="Times New Roman;Times;serif"/>
                <w:sz w:val="14"/>
              </w:rPr>
              <w:t xml:space="preserve"> </w:t>
            </w:r>
            <w:r>
              <w:rPr>
                <w:rFonts w:ascii="Times New Roman;Times;serif" w:hAnsi="Times New Roman;Times;serif"/>
                <w:b/>
                <w:sz w:val="11"/>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Revenue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544,315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510,862</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1,055,836</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1,008,592</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141,711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129,503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262,543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24.9</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246,312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24.4</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58,640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55,454</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116,132</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109,560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1,816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1,892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Interest income on Gaylord National bonds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1,026</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1,113</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2,051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2,227</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202,278</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37.2</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187,017</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382,534</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36.2</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359,991</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35.7</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Entertainment segment: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144,014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143,304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223,197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232,854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income</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32,404</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22.5</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23,495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36,657</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33,811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w:t>
            </w:r>
          </w:p>
        </w:tc>
        <w:tc>
          <w:tcPr>
            <w:tcW w:w="27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9,609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9,335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19,043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18,712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Preopening costs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438</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825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lease (revenue)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1,028</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2,095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2,048</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Transaction costs of acquisitions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Pro rata adjusted EBITDA</w:t>
            </w:r>
            <w:r>
              <w:rPr>
                <w:rFonts w:ascii="Times New Roman;Times;serif" w:hAnsi="Times New Roman;Times;serif"/>
                <w:i/>
                <w:sz w:val="15"/>
              </w:rPr>
              <w:t>re</w:t>
            </w:r>
            <w:r>
              <w:rPr>
                <w:rFonts w:ascii="Times New Roman;Times;serif" w:hAnsi="Times New Roman;Times;serif"/>
                <w:sz w:val="14"/>
              </w:rPr>
              <w:t xml:space="preserve"> </w:t>
            </w:r>
            <w:r>
              <w:rPr>
                <w:rFonts w:ascii="Times New Roman;Times;serif" w:hAnsi="Times New Roman;Times;serif"/>
                <w:sz w:val="15"/>
              </w:rPr>
              <w:t>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43,918</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33,908</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23.7</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59,599</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54,847</w:t>
            </w:r>
          </w:p>
        </w:tc>
        <w:tc>
          <w:tcPr>
            <w:tcW w:w="109" w:type="dxa"/>
            <w:tcBorders/>
            <w:vAlign w:val="center"/>
          </w:tcPr>
          <w:p>
            <w:pPr>
              <w:pStyle w:val="TableContents"/>
              <w:bidi w:val="0"/>
              <w:spacing w:before="0" w:after="0"/>
              <w:ind w:left="0" w:right="0" w:hanging="0"/>
              <w:jc w:val="righ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r>
      <w:tr>
        <w:trPr/>
        <w:tc>
          <w:tcPr>
            <w:tcW w:w="301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Corporate and Other segment: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loss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(11,502)</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(10,990)</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(23,046)</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(21,994)</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257</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231</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516</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465</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(250)</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(611)</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r>
        <w:trPr/>
        <w:tc>
          <w:tcPr>
            <w:tcW w:w="30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2,846</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2,467</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5,534</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5,069</w:t>
            </w:r>
          </w:p>
        </w:tc>
        <w:tc>
          <w:tcPr>
            <w:tcW w:w="109"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right"/>
              <w:rPr/>
            </w:pPr>
            <w:r>
              <w:rPr/>
              <w:t>​</w:t>
            </w:r>
          </w:p>
        </w:tc>
        <w:tc>
          <w:tcPr>
            <w:tcW w:w="272" w:type="dxa"/>
            <w:tcBorders/>
            <w:vAlign w:val="center"/>
          </w:tcPr>
          <w:p>
            <w:pPr>
              <w:pStyle w:val="TableContents"/>
              <w:bidi w:val="0"/>
              <w:spacing w:before="0" w:after="0"/>
              <w:ind w:left="0" w:right="0" w:hanging="0"/>
              <w:jc w:val="left"/>
              <w:rPr/>
            </w:pPr>
            <w:r>
              <w:rPr/>
              <w:t>​</w:t>
            </w:r>
          </w:p>
        </w:tc>
      </w:tr>
      <w:tr>
        <w:trPr/>
        <w:tc>
          <w:tcPr>
            <w:tcW w:w="30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5"/>
              </w:rPr>
              <w:t>Adjusted EBITDA</w:t>
            </w:r>
            <w:r>
              <w:rPr>
                <w:rFonts w:ascii="Times New Roman;Times;serif" w:hAnsi="Times New Roman;Times;serif"/>
                <w:i/>
                <w:sz w:val="15"/>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(8,649)</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(8,487)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(17,607)</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(16,898)</w:t>
            </w:r>
          </w:p>
        </w:tc>
        <w:tc>
          <w:tcPr>
            <w:tcW w:w="109"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72" w:type="dxa"/>
            <w:tcBorders/>
            <w:shd w:fill="CCEEFF" w:val="cle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120"/>
        <w:ind w:left="0" w:right="7654" w:hanging="0"/>
        <w:jc w:val="left"/>
        <w:rPr/>
      </w:pPr>
      <w:r>
        <w:rPr/>
      </w:r>
    </w:p>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Supplemental Financial Results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Funds From Operations (“FFO”) and Adjusted FFO Reconciliation</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(In thousands, except per share data)</w:t>
      </w:r>
    </w:p>
    <w:tbl>
      <w:tblPr>
        <w:tblW w:w="10205" w:type="dxa"/>
        <w:jc w:val="left"/>
        <w:tblInd w:w="0" w:type="dxa"/>
        <w:tblLayout w:type="fixed"/>
        <w:tblCellMar>
          <w:top w:w="0" w:type="dxa"/>
          <w:left w:w="0" w:type="dxa"/>
          <w:bottom w:w="0" w:type="dxa"/>
          <w:right w:w="0" w:type="dxa"/>
        </w:tblCellMar>
      </w:tblPr>
      <w:tblGrid>
        <w:gridCol w:w="5282"/>
        <w:gridCol w:w="109"/>
        <w:gridCol w:w="211"/>
        <w:gridCol w:w="781"/>
        <w:gridCol w:w="346"/>
        <w:gridCol w:w="211"/>
        <w:gridCol w:w="781"/>
        <w:gridCol w:w="109"/>
        <w:gridCol w:w="211"/>
        <w:gridCol w:w="781"/>
        <w:gridCol w:w="346"/>
        <w:gridCol w:w="211"/>
        <w:gridCol w:w="826"/>
      </w:tblGrid>
      <w:tr>
        <w:trPr/>
        <w:tc>
          <w:tcPr>
            <w:tcW w:w="5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354070" cy="175260"/>
                      <wp:effectExtent l="0" t="0" r="0" b="0"/>
                      <wp:wrapNone/>
                      <wp:docPr id="325" name="Frame324"/>
                      <a:graphic xmlns:a="http://schemas.openxmlformats.org/drawingml/2006/main">
                        <a:graphicData uri="http://schemas.microsoft.com/office/word/2010/wordprocessingShape">
                          <wps:wsp>
                            <wps:cNvSpPr txBox="1"/>
                            <wps:spPr>
                              <a:xfrm>
                                <a:off x="0" y="0"/>
                                <a:ext cx="335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8" name="Frame3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31" name="Frame3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334" name="Frame3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4510" cy="175260"/>
                      <wp:effectExtent l="0" t="0" r="0" b="0"/>
                      <wp:wrapNone/>
                      <wp:docPr id="337" name="Frame3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71,753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134,714</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 in OP Units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874</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73,285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164,247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135,588</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76,974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66,906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130,582</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for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(6,123)</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FFO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137,145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310,701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260,047</w:t>
            </w:r>
          </w:p>
        </w:tc>
      </w:tr>
      <w:tr>
        <w:trPr/>
        <w:tc>
          <w:tcPr>
            <w:tcW w:w="528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1,834</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 rata adjustments from joint ventures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5,607</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debt discounts and premiums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988</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for noncontrolling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(2,018)</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Transaction costs of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provision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9,470</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148,845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278,668</w:t>
            </w:r>
          </w:p>
        </w:tc>
      </w:tr>
      <w:tr>
        <w:trPr/>
        <w:tc>
          <w:tcPr>
            <w:tcW w:w="52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Basic net income per share</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Diluted net income per share</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w:t>
            </w:r>
          </w:p>
        </w:tc>
      </w:tr>
      <w:tr>
        <w:trPr/>
        <w:tc>
          <w:tcPr>
            <w:tcW w:w="528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FFO available to common stockholders and unit holders per basic share/unit</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4.26</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Adjusted FFO available to common stockholders and unit holders per basic share/unit</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w:t>
            </w:r>
          </w:p>
        </w:tc>
      </w:tr>
      <w:tr>
        <w:trPr/>
        <w:tc>
          <w:tcPr>
            <w:tcW w:w="52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FFO available to common stockholders and unit holders per diluted share/unit</w:t>
            </w:r>
            <w:r>
              <w:rPr>
                <w:rFonts w:ascii="Times New Roman;Times;serif" w:hAnsi="Times New Roman;Times;serif"/>
                <w:sz w:val="18"/>
              </w:rPr>
              <w:t xml:space="preserve">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4.13</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Adjusted FFO available to common stockholders and unit holders per diluted share/unit</w:t>
            </w:r>
            <w:r>
              <w:rPr>
                <w:rFonts w:ascii="Times New Roman;Times;serif" w:hAnsi="Times New Roman;Times;serif"/>
                <w:sz w:val="18"/>
              </w:rPr>
              <w:t xml:space="preserve">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4.44</w:t>
            </w:r>
          </w:p>
        </w:tc>
      </w:tr>
      <w:tr>
        <w:trPr/>
        <w:tc>
          <w:tcPr>
            <w:tcW w:w="528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Weighted average common shares and OP units for the period: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2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Basic</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61,747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63,464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61,034</w:t>
            </w:r>
          </w:p>
        </w:tc>
      </w:tr>
      <w:tr>
        <w:trPr/>
        <w:tc>
          <w:tcPr>
            <w:tcW w:w="52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Diluted</w:t>
            </w:r>
            <w:r>
              <w:rPr>
                <w:rFonts w:ascii="Times New Roman;Times;serif" w:hAnsi="Times New Roman;Times;serif"/>
                <w:sz w:val="18"/>
              </w:rPr>
              <w:t xml:space="preserve">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68,538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66,127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68,194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64,972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 and diluted weighted average common shares for the three and six months ended June 30, 2026 and 2025 includes the impact of approximately 3.0 million additional shares issued on May 21, 2025. Diluted weighted average common shares for the three months ended June 30, 2026 and 2025 include 4.9 million and 4.2 million, respectively, and for the six months ended June 30, 2026 and 2025 include 4.5 million and 3.7 million, respectively, in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Supplemental Financial Results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9"/>
        </w:rPr>
        <w:t>Hospitality Segment Adjusted EBITDA</w:t>
      </w:r>
      <w:r>
        <w:rPr>
          <w:rFonts w:ascii="Times New Roman;Times;serif" w:hAnsi="Times New Roman;Times;serif"/>
          <w:b/>
          <w:i/>
          <w:sz w:val="19"/>
        </w:rPr>
        <w:t>re</w:t>
      </w:r>
      <w:r>
        <w:rPr>
          <w:rFonts w:ascii="Times New Roman;Times;serif" w:hAnsi="Times New Roman;Times;serif"/>
          <w:sz w:val="18"/>
        </w:rPr>
        <w:t xml:space="preserve"> </w:t>
      </w:r>
      <w:r>
        <w:rPr>
          <w:rFonts w:ascii="Times New Roman;Times;serif" w:hAnsi="Times New Roman;Times;serif"/>
          <w:b/>
          <w:sz w:val="19"/>
        </w:rPr>
        <w:t>Reconciliation and Operating Metrics</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for performance metrics)</w:t>
      </w:r>
    </w:p>
    <w:tbl>
      <w:tblPr>
        <w:tblW w:w="10205" w:type="dxa"/>
        <w:jc w:val="left"/>
        <w:tblInd w:w="0" w:type="dxa"/>
        <w:tblLayout w:type="fixed"/>
        <w:tblCellMar>
          <w:top w:w="0" w:type="dxa"/>
          <w:left w:w="0" w:type="dxa"/>
          <w:bottom w:w="0" w:type="dxa"/>
          <w:right w:w="0" w:type="dxa"/>
        </w:tblCellMar>
      </w:tblPr>
      <w:tblGrid>
        <w:gridCol w:w="1820"/>
        <w:gridCol w:w="109"/>
        <w:gridCol w:w="196"/>
        <w:gridCol w:w="691"/>
        <w:gridCol w:w="241"/>
        <w:gridCol w:w="421"/>
        <w:gridCol w:w="241"/>
        <w:gridCol w:w="346"/>
        <w:gridCol w:w="196"/>
        <w:gridCol w:w="691"/>
        <w:gridCol w:w="241"/>
        <w:gridCol w:w="421"/>
        <w:gridCol w:w="241"/>
        <w:gridCol w:w="109"/>
        <w:gridCol w:w="196"/>
        <w:gridCol w:w="826"/>
        <w:gridCol w:w="241"/>
        <w:gridCol w:w="421"/>
        <w:gridCol w:w="241"/>
        <w:gridCol w:w="346"/>
        <w:gridCol w:w="196"/>
        <w:gridCol w:w="826"/>
        <w:gridCol w:w="241"/>
        <w:gridCol w:w="421"/>
        <w:gridCol w:w="286"/>
      </w:tblGrid>
      <w:tr>
        <w:trPr/>
        <w:tc>
          <w:tcPr>
            <w:tcW w:w="1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155700" cy="175260"/>
                      <wp:effectExtent l="0" t="0" r="0" b="0"/>
                      <wp:wrapNone/>
                      <wp:docPr id="338" name="Frame337"/>
                      <a:graphic xmlns:a="http://schemas.openxmlformats.org/drawingml/2006/main">
                        <a:graphicData uri="http://schemas.microsoft.com/office/word/2010/wordprocessingShape">
                          <wps:wsp>
                            <wps:cNvSpPr txBox="1"/>
                            <wps:spPr>
                              <a:xfrm>
                                <a:off x="0" y="0"/>
                                <a:ext cx="1155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40"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8785" cy="175260"/>
                      <wp:effectExtent l="0" t="0" r="0" b="0"/>
                      <wp:wrapNone/>
                      <wp:docPr id="341" name="Frame3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53035" cy="175260"/>
                      <wp:effectExtent l="0" t="0" r="0" b="0"/>
                      <wp:wrapNone/>
                      <wp:docPr id="342" name="Frame34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67335" cy="175260"/>
                      <wp:effectExtent l="0" t="0" r="0" b="0"/>
                      <wp:wrapNone/>
                      <wp:docPr id="343" name="Frame34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3035" cy="175260"/>
                      <wp:effectExtent l="0" t="0" r="0" b="0"/>
                      <wp:wrapNone/>
                      <wp:docPr id="344" name="Frame34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4460" cy="175260"/>
                      <wp:effectExtent l="0" t="0" r="0" b="0"/>
                      <wp:wrapNone/>
                      <wp:docPr id="346" name="Frame3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785" cy="175260"/>
                      <wp:effectExtent l="0" t="0" r="0" b="0"/>
                      <wp:wrapNone/>
                      <wp:docPr id="347" name="Frame3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53035" cy="175260"/>
                      <wp:effectExtent l="0" t="0" r="0" b="0"/>
                      <wp:wrapNone/>
                      <wp:docPr id="348" name="Frame34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67335" cy="175260"/>
                      <wp:effectExtent l="0" t="0" r="0" b="0"/>
                      <wp:wrapNone/>
                      <wp:docPr id="349" name="Frame34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53035" cy="175260"/>
                      <wp:effectExtent l="0" t="0" r="0" b="0"/>
                      <wp:wrapNone/>
                      <wp:docPr id="350" name="Frame34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24510" cy="175260"/>
                      <wp:effectExtent l="0" t="0" r="0" b="0"/>
                      <wp:wrapNone/>
                      <wp:docPr id="353"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53035" cy="175260"/>
                      <wp:effectExtent l="0" t="0" r="0" b="0"/>
                      <wp:wrapNone/>
                      <wp:docPr id="354" name="Frame35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67335" cy="175260"/>
                      <wp:effectExtent l="0" t="0" r="0" b="0"/>
                      <wp:wrapNone/>
                      <wp:docPr id="355" name="Frame35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53035" cy="175260"/>
                      <wp:effectExtent l="0" t="0" r="0" b="0"/>
                      <wp:wrapNone/>
                      <wp:docPr id="356" name="Frame35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8" name="Frame3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24510" cy="175260"/>
                      <wp:effectExtent l="0" t="0" r="0" b="0"/>
                      <wp:wrapNone/>
                      <wp:docPr id="359" name="Frame3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53035" cy="175260"/>
                      <wp:effectExtent l="0" t="0" r="0" b="0"/>
                      <wp:wrapNone/>
                      <wp:docPr id="360" name="Frame35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67335" cy="175260"/>
                      <wp:effectExtent l="0" t="0" r="0" b="0"/>
                      <wp:wrapNone/>
                      <wp:docPr id="361" name="Frame36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81610" cy="175260"/>
                      <wp:effectExtent l="0" t="0" r="0" b="0"/>
                      <wp:wrapNone/>
                      <wp:docPr id="362" name="Frame3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424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42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9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Hospitality segment: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604,964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516,211</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1,190,353</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1,013,941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153,643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126,920</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298,730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243,729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67,218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57,397</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133,226</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111,503</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1,005</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on Gaylord National bonds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223,042</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186,435</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435,612</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359,409</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284.05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258.88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289.42</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261.53</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206.52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189.77</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203.82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187.03</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331.16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328.09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299.07</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537.69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487.62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531.91</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486.10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Same-store Hospitality segment:</w:t>
            </w:r>
            <w:r>
              <w:rPr>
                <w:rFonts w:ascii="Times New Roman;Times;serif" w:hAnsi="Times New Roman;Times;serif"/>
                <w:sz w:val="16"/>
              </w:rPr>
              <w:t xml:space="preserve"> </w:t>
            </w:r>
            <w:r>
              <w:rPr>
                <w:rFonts w:ascii="Times New Roman;Times;serif" w:hAnsi="Times New Roman;Times;serif"/>
                <w:b/>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544,315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510,862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1,055,836</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1,008,592</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141,711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129,503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262,543</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246,312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58,640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55,454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116,132</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109,560</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on Gaylord National bonds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202,278</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187,017</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382,534</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359,991</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277.19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259.19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277.47</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261.71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201.67</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191.70</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194.91</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187.97</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322.38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300.14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316.16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300.23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524.05</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491.84</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511.07</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488.20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Gaylord Opryland: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125,190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116,465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253,569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226,643</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36,567</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35,144</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76,389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65,242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16,635</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45,956</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43,710</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94,472</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81,858</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266.96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246.17</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272.09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253.72</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198.18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185.19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195.89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177.88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278.18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257.97</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289.19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255.70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476.36</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443.16</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485.09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433.58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Gaylord Palms: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88,491</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73,113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186,137</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161,506</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13,671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50,861</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37,453</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8,912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17,727</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16,819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1,911</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30,946</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23,236</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70,420</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56,183</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82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270.06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243.35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285.86</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259.34</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192.00</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217.65</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200.80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363.53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275.66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380.94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318.58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566.02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467.66</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598.59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519.38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Supplemental Financial Results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9"/>
        </w:rPr>
        <w:t>Hospitality Segment Adjusted EBITDA</w:t>
      </w:r>
      <w:r>
        <w:rPr>
          <w:rFonts w:ascii="Times New Roman;Times;serif" w:hAnsi="Times New Roman;Times;serif"/>
          <w:b/>
          <w:i/>
          <w:sz w:val="19"/>
        </w:rPr>
        <w:t>re</w:t>
      </w:r>
      <w:r>
        <w:rPr>
          <w:rFonts w:ascii="Times New Roman;Times;serif" w:hAnsi="Times New Roman;Times;serif"/>
          <w:sz w:val="18"/>
        </w:rPr>
        <w:t xml:space="preserve"> </w:t>
      </w:r>
      <w:r>
        <w:rPr>
          <w:rFonts w:ascii="Times New Roman;Times;serif" w:hAnsi="Times New Roman;Times;serif"/>
          <w:b/>
          <w:sz w:val="19"/>
        </w:rPr>
        <w:t>Reconciliation and Operating Metrics</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for performance metrics)</w:t>
      </w:r>
    </w:p>
    <w:tbl>
      <w:tblPr>
        <w:tblW w:w="10205" w:type="dxa"/>
        <w:jc w:val="left"/>
        <w:tblInd w:w="0" w:type="dxa"/>
        <w:tblLayout w:type="fixed"/>
        <w:tblCellMar>
          <w:top w:w="0" w:type="dxa"/>
          <w:left w:w="0" w:type="dxa"/>
          <w:bottom w:w="0" w:type="dxa"/>
          <w:right w:w="0" w:type="dxa"/>
        </w:tblCellMar>
      </w:tblPr>
      <w:tblGrid>
        <w:gridCol w:w="2270"/>
        <w:gridCol w:w="109"/>
        <w:gridCol w:w="196"/>
        <w:gridCol w:w="601"/>
        <w:gridCol w:w="241"/>
        <w:gridCol w:w="421"/>
        <w:gridCol w:w="241"/>
        <w:gridCol w:w="346"/>
        <w:gridCol w:w="196"/>
        <w:gridCol w:w="601"/>
        <w:gridCol w:w="241"/>
        <w:gridCol w:w="421"/>
        <w:gridCol w:w="241"/>
        <w:gridCol w:w="109"/>
        <w:gridCol w:w="196"/>
        <w:gridCol w:w="691"/>
        <w:gridCol w:w="241"/>
        <w:gridCol w:w="421"/>
        <w:gridCol w:w="241"/>
        <w:gridCol w:w="346"/>
        <w:gridCol w:w="196"/>
        <w:gridCol w:w="691"/>
        <w:gridCol w:w="241"/>
        <w:gridCol w:w="421"/>
        <w:gridCol w:w="286"/>
      </w:tblGrid>
      <w:tr>
        <w:trPr/>
        <w:tc>
          <w:tcPr>
            <w:tcW w:w="2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41450" cy="175260"/>
                      <wp:effectExtent l="0" t="0" r="0" b="0"/>
                      <wp:wrapNone/>
                      <wp:docPr id="363" name="Frame362"/>
                      <a:graphic xmlns:a="http://schemas.openxmlformats.org/drawingml/2006/main">
                        <a:graphicData uri="http://schemas.microsoft.com/office/word/2010/wordprocessingShape">
                          <wps:wsp>
                            <wps:cNvSpPr txBox="1"/>
                            <wps:spPr>
                              <a:xfrm>
                                <a:off x="0" y="0"/>
                                <a:ext cx="144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24460" cy="175260"/>
                      <wp:effectExtent l="0" t="0" r="0" b="0"/>
                      <wp:wrapNone/>
                      <wp:docPr id="365" name="Frame3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81635" cy="175260"/>
                      <wp:effectExtent l="0" t="0" r="0" b="0"/>
                      <wp:wrapNone/>
                      <wp:docPr id="366" name="Frame3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53035" cy="175260"/>
                      <wp:effectExtent l="0" t="0" r="0" b="0"/>
                      <wp:wrapNone/>
                      <wp:docPr id="367" name="Frame36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67335" cy="175260"/>
                      <wp:effectExtent l="0" t="0" r="0" b="0"/>
                      <wp:wrapNone/>
                      <wp:docPr id="368" name="Frame36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3035" cy="175260"/>
                      <wp:effectExtent l="0" t="0" r="0" b="0"/>
                      <wp:wrapNone/>
                      <wp:docPr id="369" name="Frame36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4460" cy="175260"/>
                      <wp:effectExtent l="0" t="0" r="0" b="0"/>
                      <wp:wrapNone/>
                      <wp:docPr id="371" name="Frame3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81635" cy="175260"/>
                      <wp:effectExtent l="0" t="0" r="0" b="0"/>
                      <wp:wrapNone/>
                      <wp:docPr id="372" name="Frame37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53035" cy="175260"/>
                      <wp:effectExtent l="0" t="0" r="0" b="0"/>
                      <wp:wrapNone/>
                      <wp:docPr id="373" name="Frame37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67335" cy="175260"/>
                      <wp:effectExtent l="0" t="0" r="0" b="0"/>
                      <wp:wrapNone/>
                      <wp:docPr id="374" name="Frame3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3035" cy="175260"/>
                      <wp:effectExtent l="0" t="0" r="0" b="0"/>
                      <wp:wrapNone/>
                      <wp:docPr id="375" name="Frame37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4460" cy="175260"/>
                      <wp:effectExtent l="0" t="0" r="0" b="0"/>
                      <wp:wrapNone/>
                      <wp:docPr id="377" name="Frame3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38785" cy="175260"/>
                      <wp:effectExtent l="0" t="0" r="0" b="0"/>
                      <wp:wrapNone/>
                      <wp:docPr id="378" name="Frame3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53035" cy="175260"/>
                      <wp:effectExtent l="0" t="0" r="0" b="0"/>
                      <wp:wrapNone/>
                      <wp:docPr id="379" name="Frame37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67335" cy="175260"/>
                      <wp:effectExtent l="0" t="0" r="0" b="0"/>
                      <wp:wrapNone/>
                      <wp:docPr id="380" name="Frame37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3035" cy="175260"/>
                      <wp:effectExtent l="0" t="0" r="0" b="0"/>
                      <wp:wrapNone/>
                      <wp:docPr id="381" name="Frame38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24460" cy="175260"/>
                      <wp:effectExtent l="0" t="0" r="0" b="0"/>
                      <wp:wrapNone/>
                      <wp:docPr id="383" name="Frame3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8785" cy="175260"/>
                      <wp:effectExtent l="0" t="0" r="0" b="0"/>
                      <wp:wrapNone/>
                      <wp:docPr id="384" name="Frame3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53035" cy="175260"/>
                      <wp:effectExtent l="0" t="0" r="0" b="0"/>
                      <wp:wrapNone/>
                      <wp:docPr id="385" name="Frame38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67335" cy="175260"/>
                      <wp:effectExtent l="0" t="0" r="0" b="0"/>
                      <wp:wrapNone/>
                      <wp:docPr id="386" name="Frame38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81610" cy="175260"/>
                      <wp:effectExtent l="0" t="0" r="0" b="0"/>
                      <wp:wrapNone/>
                      <wp:docPr id="387" name="Frame38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397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397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Gaylord Texan: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82,259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82,494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165,630</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168,871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23,528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47,333</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52,697</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7,681</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6,157</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15,006</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12,086</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31,209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31,159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62,339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64,783</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w:t>
            </w:r>
          </w:p>
        </w:tc>
        <w:tc>
          <w:tcPr>
            <w:tcW w:w="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w:t>
            </w:r>
          </w:p>
        </w:tc>
        <w:tc>
          <w:tcPr>
            <w:tcW w:w="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268.51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253.06</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266.01</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255.16</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179.96</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185.04</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310.72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317.42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324.50</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329.29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498.32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499.74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504.46</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514.33</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Gaylord National: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90,422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83,413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164,649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164,242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19,550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15,818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25,775</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25,292</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8,495</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16,987</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16,932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on Gaylord National bonds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gains and (losses),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29,063</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25,420</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44,805</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44,451</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280.70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263.97</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274.10</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256.29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200.10</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178.85</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184.16</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179.59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297.72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280.38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271.59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275.03</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459.23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455.74</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454.62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Gaylord Rockies: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84,735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81,722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156,984</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152,670</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23,792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21,798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38,237</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36,621</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15,141</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14,897</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30,329</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29,749</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38,933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36,695</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68,566</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66,370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w:t>
            </w:r>
          </w:p>
        </w:tc>
        <w:tc>
          <w:tcPr>
            <w:tcW w:w="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275.43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259.78</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267.28</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258.52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218.64</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208.62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206.93</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197.21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401.71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389.67</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370.90</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364.73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620.35</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598.29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577.82</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561.94</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JW Marriott Hill Country:</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65,762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66,573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116,057</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121,849</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15,982</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17,250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23,190</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8,193</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7,919</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16,355</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15,750</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24,175</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25,169</w:t>
            </w:r>
          </w:p>
        </w:tc>
        <w:tc>
          <w:tcPr>
            <w:tcW w:w="241"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39,545</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43,849</w:t>
            </w:r>
          </w:p>
        </w:tc>
        <w:tc>
          <w:tcPr>
            <w:tcW w:w="241" w:type="dxa"/>
            <w:tcBorders/>
            <w:vAlign w:val="center"/>
          </w:tcPr>
          <w:p>
            <w:pPr>
              <w:pStyle w:val="TableContents"/>
              <w:bidi w:val="0"/>
              <w:spacing w:before="0" w:after="0"/>
              <w:ind w:left="0" w:right="0" w:hanging="0"/>
              <w:jc w:val="righ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344.31</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342.79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341.31</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332.79</w:t>
            </w:r>
          </w:p>
        </w:tc>
        <w:tc>
          <w:tcPr>
            <w:tcW w:w="24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244.21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259.31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221.24</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238.96</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470.80</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418.68</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432.89</w:t>
            </w:r>
          </w:p>
        </w:tc>
        <w:tc>
          <w:tcPr>
            <w:tcW w:w="24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721.22</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730.11</w:t>
            </w:r>
          </w:p>
        </w:tc>
        <w:tc>
          <w:tcPr>
            <w:tcW w:w="24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639.92</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671.85</w:t>
            </w:r>
          </w:p>
        </w:tc>
        <w:tc>
          <w:tcPr>
            <w:tcW w:w="24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Supplemental Financial Results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9"/>
        </w:rPr>
        <w:t>Hospitality Segment Adjusted EBITDA</w:t>
      </w:r>
      <w:r>
        <w:rPr>
          <w:rFonts w:ascii="Times New Roman;Times;serif" w:hAnsi="Times New Roman;Times;serif"/>
          <w:b/>
          <w:i/>
          <w:sz w:val="19"/>
        </w:rPr>
        <w:t>re</w:t>
      </w:r>
      <w:r>
        <w:rPr>
          <w:rFonts w:ascii="Times New Roman;Times;serif" w:hAnsi="Times New Roman;Times;serif"/>
          <w:sz w:val="18"/>
        </w:rPr>
        <w:t xml:space="preserve"> </w:t>
      </w:r>
      <w:r>
        <w:rPr>
          <w:rFonts w:ascii="Times New Roman;Times;serif" w:hAnsi="Times New Roman;Times;serif"/>
          <w:b/>
          <w:sz w:val="19"/>
        </w:rPr>
        <w:t>Reconciliation and Operating Metrics</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for performance metrics)</w:t>
      </w:r>
    </w:p>
    <w:tbl>
      <w:tblPr>
        <w:tblW w:w="10205" w:type="dxa"/>
        <w:jc w:val="left"/>
        <w:tblInd w:w="0" w:type="dxa"/>
        <w:tblLayout w:type="fixed"/>
        <w:tblCellMar>
          <w:top w:w="0" w:type="dxa"/>
          <w:left w:w="0" w:type="dxa"/>
          <w:bottom w:w="0" w:type="dxa"/>
          <w:right w:w="0" w:type="dxa"/>
        </w:tblCellMar>
      </w:tblPr>
      <w:tblGrid>
        <w:gridCol w:w="2083"/>
        <w:gridCol w:w="109"/>
        <w:gridCol w:w="196"/>
        <w:gridCol w:w="601"/>
        <w:gridCol w:w="241"/>
        <w:gridCol w:w="440"/>
        <w:gridCol w:w="241"/>
        <w:gridCol w:w="346"/>
        <w:gridCol w:w="196"/>
        <w:gridCol w:w="620"/>
        <w:gridCol w:w="241"/>
        <w:gridCol w:w="520"/>
        <w:gridCol w:w="241"/>
        <w:gridCol w:w="109"/>
        <w:gridCol w:w="196"/>
        <w:gridCol w:w="691"/>
        <w:gridCol w:w="241"/>
        <w:gridCol w:w="440"/>
        <w:gridCol w:w="241"/>
        <w:gridCol w:w="346"/>
        <w:gridCol w:w="196"/>
        <w:gridCol w:w="620"/>
        <w:gridCol w:w="241"/>
        <w:gridCol w:w="520"/>
        <w:gridCol w:w="289"/>
      </w:tblGrid>
      <w:tr>
        <w:trPr/>
        <w:tc>
          <w:tcPr>
            <w:tcW w:w="2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22705" cy="175260"/>
                      <wp:effectExtent l="0" t="0" r="0" b="0"/>
                      <wp:wrapNone/>
                      <wp:docPr id="388" name="Frame387"/>
                      <a:graphic xmlns:a="http://schemas.openxmlformats.org/drawingml/2006/main">
                        <a:graphicData uri="http://schemas.microsoft.com/office/word/2010/wordprocessingShape">
                          <wps:wsp>
                            <wps:cNvSpPr txBox="1"/>
                            <wps:spPr>
                              <a:xfrm>
                                <a:off x="0" y="0"/>
                                <a:ext cx="1322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9215" cy="175260"/>
                      <wp:effectExtent l="0" t="0" r="0" b="0"/>
                      <wp:wrapNone/>
                      <wp:docPr id="389"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24460" cy="175260"/>
                      <wp:effectExtent l="0" t="0" r="0" b="0"/>
                      <wp:wrapNone/>
                      <wp:docPr id="390" name="Frame3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81635" cy="175260"/>
                      <wp:effectExtent l="0" t="0" r="0" b="0"/>
                      <wp:wrapNone/>
                      <wp:docPr id="391" name="Frame39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53035" cy="175260"/>
                      <wp:effectExtent l="0" t="0" r="0" b="0"/>
                      <wp:wrapNone/>
                      <wp:docPr id="392" name="Frame39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79400" cy="175260"/>
                      <wp:effectExtent l="0" t="0" r="0" b="0"/>
                      <wp:wrapNone/>
                      <wp:docPr id="393" name="Frame39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53035" cy="175260"/>
                      <wp:effectExtent l="0" t="0" r="0" b="0"/>
                      <wp:wrapNone/>
                      <wp:docPr id="394" name="Frame39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4460" cy="175260"/>
                      <wp:effectExtent l="0" t="0" r="0" b="0"/>
                      <wp:wrapNone/>
                      <wp:docPr id="396" name="Frame3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93700" cy="175260"/>
                      <wp:effectExtent l="0" t="0" r="0" b="0"/>
                      <wp:wrapNone/>
                      <wp:docPr id="397" name="Frame396"/>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53035" cy="175260"/>
                      <wp:effectExtent l="0" t="0" r="0" b="0"/>
                      <wp:wrapNone/>
                      <wp:docPr id="398" name="Frame39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30200" cy="175260"/>
                      <wp:effectExtent l="0" t="0" r="0" b="0"/>
                      <wp:wrapNone/>
                      <wp:docPr id="399" name="Frame398"/>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53035" cy="175260"/>
                      <wp:effectExtent l="0" t="0" r="0" b="0"/>
                      <wp:wrapNone/>
                      <wp:docPr id="400" name="Frame39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24460" cy="175260"/>
                      <wp:effectExtent l="0" t="0" r="0" b="0"/>
                      <wp:wrapNone/>
                      <wp:docPr id="402" name="Frame4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38785" cy="175260"/>
                      <wp:effectExtent l="0" t="0" r="0" b="0"/>
                      <wp:wrapNone/>
                      <wp:docPr id="403" name="Frame4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53035" cy="175260"/>
                      <wp:effectExtent l="0" t="0" r="0" b="0"/>
                      <wp:wrapNone/>
                      <wp:docPr id="404" name="Frame40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79400" cy="175260"/>
                      <wp:effectExtent l="0" t="0" r="0" b="0"/>
                      <wp:wrapNone/>
                      <wp:docPr id="405" name="Frame404"/>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53035" cy="175260"/>
                      <wp:effectExtent l="0" t="0" r="0" b="0"/>
                      <wp:wrapNone/>
                      <wp:docPr id="406" name="Frame40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24460" cy="175260"/>
                      <wp:effectExtent l="0" t="0" r="0" b="0"/>
                      <wp:wrapNone/>
                      <wp:docPr id="408" name="Frame4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93700" cy="175260"/>
                      <wp:effectExtent l="0" t="0" r="0" b="0"/>
                      <wp:wrapNone/>
                      <wp:docPr id="409" name="Frame40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53035" cy="175260"/>
                      <wp:effectExtent l="0" t="0" r="0" b="0"/>
                      <wp:wrapNone/>
                      <wp:docPr id="410" name="Frame40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30200" cy="175260"/>
                      <wp:effectExtent l="0" t="0" r="0" b="0"/>
                      <wp:wrapNone/>
                      <wp:docPr id="411" name="Frame410"/>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83515" cy="175260"/>
                      <wp:effectExtent l="0" t="0" r="0" b="0"/>
                      <wp:wrapNone/>
                      <wp:docPr id="412" name="Frame41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8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402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8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402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0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8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8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left"/>
              <w:rPr/>
            </w:pPr>
            <w:r>
              <w:rPr/>
              <w:t>​</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0"/>
              <w:ind w:left="0" w:right="0" w:hanging="0"/>
              <w:jc w:val="left"/>
              <w:rPr/>
            </w:pPr>
            <w:r>
              <w:rPr/>
              <w:t>​</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41" w:type="dxa"/>
            <w:tcBorders/>
            <w:vAlign w:val="center"/>
          </w:tcPr>
          <w:p>
            <w:pPr>
              <w:pStyle w:val="TableContents"/>
              <w:bidi w:val="0"/>
              <w:spacing w:before="0" w:after="0"/>
              <w:ind w:left="0" w:right="0" w:hanging="0"/>
              <w:jc w:val="left"/>
              <w:rPr/>
            </w:pPr>
            <w:r>
              <w:rPr/>
              <w:t>​</w:t>
            </w:r>
          </w:p>
        </w:tc>
        <w:tc>
          <w:tcPr>
            <w:tcW w:w="8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Margin</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JW Marriott Desert Ridge:</w:t>
            </w:r>
            <w:r>
              <w:rPr>
                <w:rFonts w:ascii="Times New Roman;Times;serif" w:hAnsi="Times New Roman;Times;serif"/>
                <w:sz w:val="16"/>
              </w:rPr>
              <w:t xml:space="preserve"> </w:t>
            </w:r>
            <w:r>
              <w:rPr>
                <w:rFonts w:ascii="Times New Roman;Times;serif" w:hAnsi="Times New Roman;Times;serif"/>
                <w:b/>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60,649</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5,349</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134,517</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5,349</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11,932</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36,187</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(2,583)</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8,578</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1,943</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17,094</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1,943</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(revenue)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20,764</w:t>
            </w:r>
          </w:p>
        </w:tc>
        <w:tc>
          <w:tcPr>
            <w:tcW w:w="241" w:type="dxa"/>
            <w:tcBorders/>
            <w:vAlign w:val="center"/>
          </w:tcPr>
          <w:p>
            <w:pPr>
              <w:pStyle w:val="TableContents"/>
              <w:bidi w:val="0"/>
              <w:spacing w:before="0" w:after="0"/>
              <w:ind w:left="0" w:right="0" w:hanging="0"/>
              <w:jc w:val="lef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241" w:type="dxa"/>
            <w:tcBorders/>
            <w:vAlign w:val="center"/>
          </w:tcPr>
          <w:p>
            <w:pPr>
              <w:pStyle w:val="TableContents"/>
              <w:bidi w:val="0"/>
              <w:spacing w:before="0" w:after="0"/>
              <w:ind w:left="0" w:right="0" w:hanging="0"/>
              <w:jc w:val="left"/>
              <w:rPr/>
            </w:pPr>
            <w:r>
              <w:rPr/>
              <w:t>​</w:t>
            </w:r>
          </w:p>
        </w:tc>
        <w:tc>
          <w:tcPr>
            <w:tcW w:w="5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53,078</w:t>
            </w:r>
          </w:p>
        </w:tc>
        <w:tc>
          <w:tcPr>
            <w:tcW w:w="241" w:type="dxa"/>
            <w:tcBorders/>
            <w:vAlign w:val="center"/>
          </w:tcPr>
          <w:p>
            <w:pPr>
              <w:pStyle w:val="TableContents"/>
              <w:bidi w:val="0"/>
              <w:spacing w:before="0" w:after="0"/>
              <w:ind w:left="0" w:right="0" w:hanging="0"/>
              <w:jc w:val="righ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241" w:type="dxa"/>
            <w:tcBorders/>
            <w:vAlign w:val="center"/>
          </w:tcPr>
          <w:p>
            <w:pPr>
              <w:pStyle w:val="TableContents"/>
              <w:bidi w:val="0"/>
              <w:spacing w:before="0" w:after="0"/>
              <w:ind w:left="0" w:right="0" w:hanging="0"/>
              <w:jc w:val="right"/>
              <w:rPr/>
            </w:pPr>
            <w:r>
              <w:rPr/>
              <w:t>​</w:t>
            </w:r>
          </w:p>
        </w:tc>
        <w:tc>
          <w:tcPr>
            <w:tcW w:w="5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39.3</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367.08</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228.50</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428.43</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228.50</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264.85</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89.76</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310.88</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89.76</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436.70</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178.35</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471.42</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178.35</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701.55</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268.11</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782.30</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268.11</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The AC Hotel at National Harbor: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4,220</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3,562</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6,556</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6,260</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w:t>
            </w:r>
          </w:p>
        </w:tc>
        <w:tc>
          <w:tcPr>
            <w:tcW w:w="241"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241" w:type="dxa"/>
            <w:tcBorders/>
            <w:vAlign w:val="center"/>
          </w:tcPr>
          <w:p>
            <w:pPr>
              <w:pStyle w:val="TableContents"/>
              <w:bidi w:val="0"/>
              <w:spacing w:before="0" w:after="0"/>
              <w:ind w:left="0" w:right="0" w:hanging="0"/>
              <w:jc w:val="lef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w:t>
            </w:r>
          </w:p>
        </w:tc>
        <w:tc>
          <w:tcPr>
            <w:tcW w:w="241" w:type="dxa"/>
            <w:tcBorders/>
            <w:vAlign w:val="center"/>
          </w:tcPr>
          <w:p>
            <w:pPr>
              <w:pStyle w:val="TableContents"/>
              <w:bidi w:val="0"/>
              <w:spacing w:before="0" w:after="0"/>
              <w:ind w:left="0" w:right="0" w:hanging="0"/>
              <w:jc w:val="righ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w:t>
            </w:r>
          </w:p>
        </w:tc>
        <w:tc>
          <w:tcPr>
            <w:tcW w:w="241" w:type="dxa"/>
            <w:tcBorders/>
            <w:vAlign w:val="center"/>
          </w:tcPr>
          <w:p>
            <w:pPr>
              <w:pStyle w:val="TableContents"/>
              <w:bidi w:val="0"/>
              <w:spacing w:before="0" w:after="0"/>
              <w:ind w:left="0" w:right="0" w:hanging="0"/>
              <w:jc w:val="righ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1,480</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1,484</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1,316</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w:t>
            </w:r>
          </w:p>
        </w:tc>
        <w:tc>
          <w:tcPr>
            <w:tcW w:w="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w:t>
            </w:r>
          </w:p>
        </w:tc>
        <w:tc>
          <w:tcPr>
            <w:tcW w:w="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300.09</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286.90</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280.12</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271.75</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218.68</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171.54</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166.24</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155.71</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22.77</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32.33</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22.40</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24.43</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241.45</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203.87</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188.64</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180.14</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The Inn at Opryland:</w:t>
            </w:r>
            <w:r>
              <w:rPr>
                <w:rFonts w:ascii="Times New Roman;Times;serif" w:hAnsi="Times New Roman;Times;serif"/>
                <w:sz w:val="16"/>
              </w:rPr>
              <w:t xml:space="preserve">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3,236</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3,520</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6,254</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6,551</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EBITDA</w:t>
            </w:r>
            <w:r>
              <w:rPr>
                <w:rFonts w:ascii="Times New Roman;Times;serif" w:hAnsi="Times New Roman;Times;serif"/>
                <w:i/>
                <w:sz w:val="16"/>
              </w:rPr>
              <w:t>re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w:t>
            </w:r>
          </w:p>
        </w:tc>
        <w:tc>
          <w:tcPr>
            <w:tcW w:w="241" w:type="dxa"/>
            <w:tcBorders/>
            <w:vAlign w:val="center"/>
          </w:tcPr>
          <w:p>
            <w:pPr>
              <w:pStyle w:val="TableContents"/>
              <w:bidi w:val="0"/>
              <w:spacing w:before="0" w:after="0"/>
              <w:ind w:left="0" w:right="0" w:hanging="0"/>
              <w:jc w:val="lef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c>
          <w:tcPr>
            <w:tcW w:w="241" w:type="dxa"/>
            <w:tcBorders/>
            <w:vAlign w:val="center"/>
          </w:tcPr>
          <w:p>
            <w:pPr>
              <w:pStyle w:val="TableContents"/>
              <w:bidi w:val="0"/>
              <w:spacing w:before="0" w:after="0"/>
              <w:ind w:left="0" w:right="0" w:hanging="0"/>
              <w:jc w:val="left"/>
              <w:rPr/>
            </w:pPr>
            <w:r>
              <w:rPr/>
              <w:t>​</w:t>
            </w:r>
          </w:p>
        </w:tc>
        <w:tc>
          <w:tcPr>
            <w:tcW w:w="5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w:t>
            </w:r>
          </w:p>
        </w:tc>
        <w:tc>
          <w:tcPr>
            <w:tcW w:w="241" w:type="dxa"/>
            <w:tcBorders/>
            <w:vAlign w:val="center"/>
          </w:tcPr>
          <w:p>
            <w:pPr>
              <w:pStyle w:val="TableContents"/>
              <w:bidi w:val="0"/>
              <w:spacing w:before="0" w:after="0"/>
              <w:ind w:left="0" w:right="0" w:hanging="0"/>
              <w:jc w:val="righ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w:t>
            </w:r>
          </w:p>
        </w:tc>
        <w:tc>
          <w:tcPr>
            <w:tcW w:w="241" w:type="dxa"/>
            <w:tcBorders/>
            <w:vAlign w:val="center"/>
          </w:tcPr>
          <w:p>
            <w:pPr>
              <w:pStyle w:val="TableContents"/>
              <w:bidi w:val="0"/>
              <w:spacing w:before="0" w:after="0"/>
              <w:ind w:left="0" w:right="0" w:hanging="0"/>
              <w:jc w:val="right"/>
              <w:rPr/>
            </w:pPr>
            <w:r>
              <w:rPr/>
              <w:t>​</w:t>
            </w:r>
          </w:p>
        </w:tc>
        <w:tc>
          <w:tcPr>
            <w:tcW w:w="5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0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Performance metrics: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193.63</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168.74</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195.93</w:t>
            </w:r>
          </w:p>
        </w:tc>
        <w:tc>
          <w:tcPr>
            <w:tcW w:w="241"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177.02</w:t>
            </w:r>
          </w:p>
        </w:tc>
        <w:tc>
          <w:tcPr>
            <w:tcW w:w="24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89.27</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98.04</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88.48</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90.29</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r>
        <w:trPr/>
        <w:tc>
          <w:tcPr>
            <w:tcW w:w="20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OtherPAR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28.10</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29.63</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25.57</w:t>
            </w:r>
          </w:p>
        </w:tc>
        <w:tc>
          <w:tcPr>
            <w:tcW w:w="241"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29.15</w:t>
            </w:r>
          </w:p>
        </w:tc>
        <w:tc>
          <w:tcPr>
            <w:tcW w:w="241"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right"/>
              <w:rPr/>
            </w:pPr>
            <w:r>
              <w:rPr/>
              <w:t>​</w:t>
            </w:r>
          </w:p>
        </w:tc>
        <w:tc>
          <w:tcPr>
            <w:tcW w:w="289" w:type="dxa"/>
            <w:tcBorders/>
            <w:vAlign w:val="center"/>
          </w:tcPr>
          <w:p>
            <w:pPr>
              <w:pStyle w:val="TableContents"/>
              <w:bidi w:val="0"/>
              <w:spacing w:before="0" w:after="0"/>
              <w:ind w:left="0" w:right="0" w:hanging="0"/>
              <w:jc w:val="left"/>
              <w:rPr/>
            </w:pPr>
            <w:r>
              <w:rPr/>
              <w:t>​</w:t>
            </w:r>
          </w:p>
        </w:tc>
      </w:tr>
      <w:tr>
        <w:trPr/>
        <w:tc>
          <w:tcPr>
            <w:tcW w:w="20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RevPAR</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117.37</w:t>
            </w:r>
          </w:p>
        </w:tc>
        <w:tc>
          <w:tcPr>
            <w:tcW w:w="241"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127.67</w:t>
            </w:r>
          </w:p>
        </w:tc>
        <w:tc>
          <w:tcPr>
            <w:tcW w:w="241"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114.05</w:t>
            </w:r>
          </w:p>
        </w:tc>
        <w:tc>
          <w:tcPr>
            <w:tcW w:w="241"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119.44</w:t>
            </w:r>
          </w:p>
        </w:tc>
        <w:tc>
          <w:tcPr>
            <w:tcW w:w="241" w:type="dxa"/>
            <w:tcBorders/>
            <w:shd w:fill="CCEEFF" w:val="clear"/>
            <w:vAlign w:val="center"/>
          </w:tcPr>
          <w:p>
            <w:pPr>
              <w:pStyle w:val="TableContents"/>
              <w:bidi w:val="0"/>
              <w:spacing w:before="0" w:after="0"/>
              <w:ind w:left="0" w:right="0" w:hanging="0"/>
              <w:jc w:val="righ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89" w:type="dxa"/>
            <w:tcBorders/>
            <w:shd w:fill="CCEEFF" w:val="cle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9700" w:type="dxa"/>
        <w:jc w:val="left"/>
        <w:tblInd w:w="0" w:type="dxa"/>
        <w:tblLayout w:type="fixed"/>
        <w:tblCellMar>
          <w:top w:w="0" w:type="dxa"/>
          <w:left w:w="0" w:type="dxa"/>
          <w:bottom w:w="0" w:type="dxa"/>
          <w:right w:w="0" w:type="dxa"/>
        </w:tblCellMar>
      </w:tblPr>
      <w:tblGrid>
        <w:gridCol w:w="230"/>
        <w:gridCol w:w="947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JW Marriott Desert Ridge was acquired by the Company on June 10, 2025, therefore results are not comparable to the prior year period.</w:t>
            </w:r>
          </w:p>
        </w:tc>
      </w:tr>
    </w:tbl>
    <w:tbl>
      <w:tblPr>
        <w:tblW w:w="3550" w:type="dxa"/>
        <w:jc w:val="left"/>
        <w:tblInd w:w="0" w:type="dxa"/>
        <w:tblLayout w:type="fixed"/>
        <w:tblCellMar>
          <w:top w:w="0" w:type="dxa"/>
          <w:left w:w="0" w:type="dxa"/>
          <w:bottom w:w="0" w:type="dxa"/>
          <w:right w:w="0" w:type="dxa"/>
        </w:tblCellMar>
      </w:tblPr>
      <w:tblGrid>
        <w:gridCol w:w="230"/>
        <w:gridCol w:w="332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other hospitality revenue and expense.</w:t>
            </w:r>
          </w:p>
        </w:tc>
      </w:tr>
    </w:tbl>
    <w:p>
      <w:pPr>
        <w:pStyle w:val="TextBody"/>
        <w:bidi w:val="0"/>
        <w:spacing w:before="0" w:after="0"/>
        <w:ind w:left="0" w:right="0" w:hanging="0"/>
        <w:jc w:val="both"/>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Supplemental Financial Results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 Per Share, FFO Per Share and Adjusted FFO Per Share Calculations</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(in thousands, except per share data)</w:t>
      </w:r>
    </w:p>
    <w:tbl>
      <w:tblPr>
        <w:tblW w:w="10205" w:type="dxa"/>
        <w:jc w:val="left"/>
        <w:tblInd w:w="0" w:type="dxa"/>
        <w:tblLayout w:type="fixed"/>
        <w:tblCellMar>
          <w:top w:w="0" w:type="dxa"/>
          <w:left w:w="0" w:type="dxa"/>
          <w:bottom w:w="0" w:type="dxa"/>
          <w:right w:w="0" w:type="dxa"/>
        </w:tblCellMar>
      </w:tblPr>
      <w:tblGrid>
        <w:gridCol w:w="5228"/>
        <w:gridCol w:w="346"/>
        <w:gridCol w:w="196"/>
        <w:gridCol w:w="691"/>
        <w:gridCol w:w="346"/>
        <w:gridCol w:w="196"/>
        <w:gridCol w:w="691"/>
        <w:gridCol w:w="346"/>
        <w:gridCol w:w="196"/>
        <w:gridCol w:w="691"/>
        <w:gridCol w:w="346"/>
        <w:gridCol w:w="196"/>
        <w:gridCol w:w="736"/>
      </w:tblGrid>
      <w:tr>
        <w:trPr/>
        <w:tc>
          <w:tcPr>
            <w:tcW w:w="5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319780" cy="175260"/>
                      <wp:effectExtent l="0" t="0" r="0" b="0"/>
                      <wp:wrapNone/>
                      <wp:docPr id="413" name="Frame412"/>
                      <a:graphic xmlns:a="http://schemas.openxmlformats.org/drawingml/2006/main">
                        <a:graphicData uri="http://schemas.microsoft.com/office/word/2010/wordprocessingShape">
                          <wps:wsp>
                            <wps:cNvSpPr txBox="1"/>
                            <wps:spPr>
                              <a:xfrm>
                                <a:off x="0" y="0"/>
                                <a:ext cx="331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24460" cy="175260"/>
                      <wp:effectExtent l="0" t="0" r="0" b="0"/>
                      <wp:wrapNone/>
                      <wp:docPr id="415" name="Frame4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38785" cy="175260"/>
                      <wp:effectExtent l="0" t="0" r="0" b="0"/>
                      <wp:wrapNone/>
                      <wp:docPr id="416" name="Frame4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24460" cy="175260"/>
                      <wp:effectExtent l="0" t="0" r="0" b="0"/>
                      <wp:wrapNone/>
                      <wp:docPr id="418" name="Frame4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8785" cy="175260"/>
                      <wp:effectExtent l="0" t="0" r="0" b="0"/>
                      <wp:wrapNone/>
                      <wp:docPr id="419" name="Frame4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24460" cy="175260"/>
                      <wp:effectExtent l="0" t="0" r="0" b="0"/>
                      <wp:wrapNone/>
                      <wp:docPr id="421" name="Frame4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38785" cy="175260"/>
                      <wp:effectExtent l="0" t="0" r="0" b="0"/>
                      <wp:wrapNone/>
                      <wp:docPr id="422" name="Frame4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67360" cy="175260"/>
                      <wp:effectExtent l="0" t="0" r="0" b="0"/>
                      <wp:wrapNone/>
                      <wp:docPr id="425" name="Frame42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1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available to common stockholders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92,750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71,753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163,225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134,714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attributable to noncontrolling interest in OEG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2,805</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available to common stockholders - if-converted method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96,800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73,847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166,687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137,519</w:t>
            </w:r>
          </w:p>
        </w:tc>
      </w:tr>
      <w:tr>
        <w:trPr/>
        <w:tc>
          <w:tcPr>
            <w:tcW w:w="52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Weighted average shares outstanding - 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63,114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61,352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63,069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60,639</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dilutive equity-based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Effect of dilutive put rights</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3,744</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Weighted average shares outstanding - diluted</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68,143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65,732</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67,799</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64,577</w:t>
            </w:r>
          </w:p>
        </w:tc>
      </w:tr>
      <w:tr>
        <w:trPr/>
        <w:tc>
          <w:tcPr>
            <w:tcW w:w="52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Basic income per share available to common stockholders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2.22</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Diluted income per share available to common stockholders</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FFO per share/unit: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FFO available to common stockholders and unit holders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167,229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137,145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310,701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260,047</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attributable to noncontrolling interest in OEG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2,805</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FFO adjustments for noncontrolling interest in OEG</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5,234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FFO available to common stockholders and unit holders - if-converted method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173,982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141,840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319,517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268,086</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Weighted average shares and OP units outstanding - 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63,509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61,747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63,464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61,034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dilutive 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Effect of dilutive put rights</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4,860</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4,233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4,543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Weighted average shares and OP units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68,538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66,127</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68,194</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64,972</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FFO available to common stockholders and unit holders per basic share/unit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4.26</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FFO available to common stockholders and unit holders per diluted share/unit</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4.13</w:t>
            </w:r>
          </w:p>
        </w:tc>
      </w:tr>
      <w:tr>
        <w:trPr/>
        <w:tc>
          <w:tcPr>
            <w:tcW w:w="52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Adjusted FFO per share/unit: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Adjusted FFO available to common stockholders and unit 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181,399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148,845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337,477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278,668</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attributable to noncontrolling interest in OEG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2,805</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FFO adjustments for noncontrolling interest in OEG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5,234</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Adjusted FFO adjustments for noncontrolling interest in OEG</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2,018</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Adjusted FFO available to common stockholders and unit holders - if-converted method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190,175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155,276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348,358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288,725</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Weighted average shares and OP units outstanding - basic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63,509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61,747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63,464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61,034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dilutive equity-based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Effect of dilutive put rights</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4,860</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4,233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4,543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3,744</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Weighted average shares and OP units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68,538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66,127</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68,194</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64,972</w:t>
            </w:r>
          </w:p>
        </w:tc>
      </w:tr>
      <w:tr>
        <w:trPr/>
        <w:tc>
          <w:tcPr>
            <w:tcW w:w="52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22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Adjusted FFO available to common stockholders and unit holders per basic share/unit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4.57</w:t>
            </w:r>
          </w:p>
        </w:tc>
      </w:tr>
      <w:tr>
        <w:trPr/>
        <w:tc>
          <w:tcPr>
            <w:tcW w:w="5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7"/>
              </w:rPr>
              <w:t>Adjusted FFO available to common stockholders and unit holders per diluted share/unit</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36" w:type="dxa"/>
            <w:tcBorders/>
            <w:vAlign w:val="center"/>
          </w:tcPr>
          <w:p>
            <w:pPr>
              <w:pStyle w:val="TableContents"/>
              <w:bidi w:val="0"/>
              <w:spacing w:before="0" w:after="0"/>
              <w:ind w:left="0" w:right="48" w:hanging="0"/>
              <w:jc w:val="right"/>
              <w:rPr>
                <w:rFonts w:ascii="Times New Roman;Times;serif" w:hAnsi="Times New Roman;Times;serif"/>
                <w:sz w:val="17"/>
              </w:rPr>
            </w:pPr>
            <w:r>
              <w:rPr>
                <w:rFonts w:ascii="Times New Roman;Times;serif" w:hAnsi="Times New Roman;Times;serif"/>
                <w:sz w:val="17"/>
              </w:rPr>
              <w:t>4.44</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 and diluted weighted average common shares for the three and six months ended June 30, 2026 and 2025 includes the impact of approximately 3.0 million additional shares issued on May 21, 2025. Diluted weighted average common shares for the three months ended June 30, 2026 and 2025 include 4.9 million and 4.2 million, respectively, and for the six months ended June 30, 2026 and 2025 include 4.5 million and 3.7 million, respectively, in equivalent shares related to the currently unexercisable investor put rights associated with the noncontrolling interest in the Company's OEG business, which may be settled in cash or shares at the Company's option.</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Reconciliation of Forward-Looking Statements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9"/>
        </w:rPr>
        <w:t>Adjusted Earnings Before Interest, Taxes, Depreciation and Amortization for Real Estate (“Adjusted EBITDA</w:t>
      </w:r>
      <w:r>
        <w:rPr>
          <w:rFonts w:ascii="Times New Roman;Times;serif" w:hAnsi="Times New Roman;Times;serif"/>
          <w:b/>
          <w:i/>
          <w:sz w:val="19"/>
        </w:rPr>
        <w:t>re</w:t>
      </w:r>
      <w:r>
        <w:rPr>
          <w:rFonts w:ascii="Times New Roman;Times;serif" w:hAnsi="Times New Roman;Times;serif"/>
          <w:sz w:val="18"/>
        </w:rPr>
        <w:t>”</w:t>
      </w:r>
      <w:r>
        <w:rPr>
          <w:rFonts w:ascii="Times New Roman;Times;serif" w:hAnsi="Times New Roman;Times;serif"/>
          <w:b/>
          <w:sz w:val="19"/>
        </w:rPr>
        <w:t>)</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per share data)</w:t>
      </w:r>
    </w:p>
    <w:tbl>
      <w:tblPr>
        <w:tblW w:w="7009" w:type="dxa"/>
        <w:jc w:val="left"/>
        <w:tblInd w:w="0" w:type="dxa"/>
        <w:tblLayout w:type="fixed"/>
        <w:tblCellMar>
          <w:top w:w="0" w:type="dxa"/>
          <w:left w:w="0" w:type="dxa"/>
          <w:bottom w:w="0" w:type="dxa"/>
          <w:right w:w="0" w:type="dxa"/>
        </w:tblCellMar>
      </w:tblPr>
      <w:tblGrid>
        <w:gridCol w:w="3616"/>
        <w:gridCol w:w="109"/>
        <w:gridCol w:w="211"/>
        <w:gridCol w:w="796"/>
        <w:gridCol w:w="109"/>
        <w:gridCol w:w="211"/>
        <w:gridCol w:w="796"/>
        <w:gridCol w:w="109"/>
        <w:gridCol w:w="211"/>
        <w:gridCol w:w="84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296160" cy="175260"/>
                      <wp:effectExtent l="0" t="0" r="0" b="0"/>
                      <wp:wrapNone/>
                      <wp:docPr id="426" name="Frame425"/>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05460" cy="175260"/>
                      <wp:effectExtent l="0" t="0" r="0" b="0"/>
                      <wp:wrapNone/>
                      <wp:docPr id="429" name="Frame4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9215" cy="175260"/>
                      <wp:effectExtent l="0" t="0" r="0" b="0"/>
                      <wp:wrapNone/>
                      <wp:docPr id="430"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05460" cy="175260"/>
                      <wp:effectExtent l="0" t="0" r="0" b="0"/>
                      <wp:wrapNone/>
                      <wp:docPr id="432" name="Frame4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3"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34035" cy="175260"/>
                      <wp:effectExtent l="0" t="0" r="0" b="0"/>
                      <wp:wrapNone/>
                      <wp:docPr id="435" name="Frame4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Guidance Range</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Full Year 2026</w:t>
            </w:r>
            <w:r>
              <w:rPr>
                <w:rFonts w:ascii="Times New Roman;Times;serif" w:hAnsi="Times New Roman;Times;serif"/>
                <w:b/>
                <w:sz w:val="12"/>
              </w:rPr>
              <w:t>(1)</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Midpoint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280,500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285,500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283,000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246,250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249,875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306,500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318,000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312,250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EBITDA</w:t>
            </w:r>
            <w:r>
              <w:rPr>
                <w:rFonts w:ascii="Times New Roman;Times;serif" w:hAnsi="Times New Roman;Times;serif"/>
                <w:b/>
                <w:i/>
                <w:sz w:val="19"/>
              </w:rPr>
              <w:t>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846,250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871,500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858,875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Preopening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Pension settlement charge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878,000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910,000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894,000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Hospitality segment: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519,500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526,500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523,000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797,000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815,000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806,000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Hospitality segment (same-store)</w:t>
            </w:r>
            <w:r>
              <w:rPr>
                <w:rFonts w:ascii="Times New Roman;Times;serif" w:hAnsi="Times New Roman;Times;serif"/>
                <w:b/>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489,500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487,000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728,000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742,000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735,000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JW Marriott Desert Ridge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35,000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37,000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36,000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69,000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71,000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Entertainment segment: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74,750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79,500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77,125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130,000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125,000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Corporate and Other segment: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(49,000)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(49,750)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Pension settlement charge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(37,000)</w:t>
            </w:r>
          </w:p>
        </w:tc>
      </w:tr>
    </w:tbl>
    <w:p>
      <w:pPr>
        <w:pStyle w:val="HorizontalLine"/>
        <w:pBdr>
          <w:bottom w:val="single" w:sz="6" w:space="0" w:color="000000"/>
        </w:pBdr>
        <w:bidi w:val="0"/>
        <w:spacing w:before="0" w:after="0"/>
        <w:ind w:left="0" w:right="7654" w:hanging="0"/>
        <w:jc w:val="left"/>
        <w:rPr/>
      </w:pPr>
      <w:r>
        <w:rPr/>
      </w:r>
    </w:p>
    <w:tbl>
      <w:tblPr>
        <w:tblW w:w="8410" w:type="dxa"/>
        <w:jc w:val="left"/>
        <w:tblInd w:w="0" w:type="dxa"/>
        <w:tblLayout w:type="fixed"/>
        <w:tblCellMar>
          <w:top w:w="0" w:type="dxa"/>
          <w:left w:w="0" w:type="dxa"/>
          <w:bottom w:w="0" w:type="dxa"/>
          <w:right w:w="0" w:type="dxa"/>
        </w:tblCellMar>
      </w:tblPr>
      <w:tblGrid>
        <w:gridCol w:w="230"/>
        <w:gridCol w:w="818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JW Marriott Desert Ridge, except as otherwise noted. Amounts are calculated based on unrounded numbers. </w:t>
            </w:r>
          </w:p>
        </w:tc>
      </w:tr>
    </w:tbl>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Reconciliation of Forward-Looking Statements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Funds From Operations (“FFO”) and Adjusted FFO</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per share data)</w:t>
      </w:r>
    </w:p>
    <w:tbl>
      <w:tblPr>
        <w:tblW w:w="10205" w:type="dxa"/>
        <w:jc w:val="left"/>
        <w:tblInd w:w="0" w:type="dxa"/>
        <w:tblLayout w:type="fixed"/>
        <w:tblCellMar>
          <w:top w:w="0" w:type="dxa"/>
          <w:left w:w="0" w:type="dxa"/>
          <w:bottom w:w="0" w:type="dxa"/>
          <w:right w:w="0" w:type="dxa"/>
        </w:tblCellMar>
      </w:tblPr>
      <w:tblGrid>
        <w:gridCol w:w="6818"/>
        <w:gridCol w:w="109"/>
        <w:gridCol w:w="211"/>
        <w:gridCol w:w="793"/>
        <w:gridCol w:w="109"/>
        <w:gridCol w:w="211"/>
        <w:gridCol w:w="793"/>
        <w:gridCol w:w="109"/>
        <w:gridCol w:w="211"/>
        <w:gridCol w:w="841"/>
      </w:tblGrid>
      <w:tr>
        <w:trPr/>
        <w:tc>
          <w:tcPr>
            <w:tcW w:w="6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329430" cy="175260"/>
                      <wp:effectExtent l="0" t="0" r="0" b="0"/>
                      <wp:wrapNone/>
                      <wp:docPr id="436" name="Frame435"/>
                      <a:graphic xmlns:a="http://schemas.openxmlformats.org/drawingml/2006/main">
                        <a:graphicData uri="http://schemas.microsoft.com/office/word/2010/wordprocessingShape">
                          <wps:wsp>
                            <wps:cNvSpPr txBox="1"/>
                            <wps:spPr>
                              <a:xfrm>
                                <a:off x="0" y="0"/>
                                <a:ext cx="432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9215" cy="175260"/>
                      <wp:effectExtent l="0" t="0" r="0" b="0"/>
                      <wp:wrapNone/>
                      <wp:docPr id="437"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03555" cy="175260"/>
                      <wp:effectExtent l="0" t="0" r="0" b="0"/>
                      <wp:wrapNone/>
                      <wp:docPr id="439" name="Frame43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40" name="Frame4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03555" cy="175260"/>
                      <wp:effectExtent l="0" t="0" r="0" b="0"/>
                      <wp:wrapNone/>
                      <wp:docPr id="442" name="Frame44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9215" cy="175260"/>
                      <wp:effectExtent l="0" t="0" r="0" b="0"/>
                      <wp:wrapNone/>
                      <wp:docPr id="443"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34035" cy="175260"/>
                      <wp:effectExtent l="0" t="0" r="0" b="0"/>
                      <wp:wrapNone/>
                      <wp:docPr id="445" name="Frame44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Guidance Range</w:t>
            </w:r>
          </w:p>
        </w:tc>
      </w:tr>
      <w:tr>
        <w:trPr/>
        <w:tc>
          <w:tcPr>
            <w:tcW w:w="6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Full Year 2026</w:t>
            </w:r>
            <w:r>
              <w:rPr>
                <w:rFonts w:ascii="Times New Roman;Times;serif" w:hAnsi="Times New Roman;Times;serif"/>
                <w:b/>
                <w:sz w:val="12"/>
              </w:rPr>
              <w:t>(1)</w:t>
            </w:r>
          </w:p>
        </w:tc>
      </w:tr>
      <w:tr>
        <w:trPr/>
        <w:tc>
          <w:tcPr>
            <w:tcW w:w="6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Midpoint</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available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273,500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272,000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 in OP units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271,500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273,500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306,500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318,000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312,250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for noncontrolling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FFO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565,500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582,000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573,750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3,375</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Pension settlement charge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for noncontrolling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13,250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debt discounts and premiums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provision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9,625</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Adjusted FFO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592,250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616,750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604,500</w:t>
            </w:r>
          </w:p>
        </w:tc>
      </w:tr>
      <w:tr>
        <w:trPr/>
        <w:tc>
          <w:tcPr>
            <w:tcW w:w="68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681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Net income available to common stockholders per diluted share</w:t>
            </w:r>
            <w:r>
              <w:rPr>
                <w:rFonts w:ascii="Times New Roman;Times;serif" w:hAnsi="Times New Roman;Times;serif"/>
                <w:sz w:val="18"/>
              </w:rPr>
              <w:t xml:space="preserve">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4.11</w:t>
            </w:r>
          </w:p>
        </w:tc>
      </w:tr>
      <w:tr>
        <w:trPr/>
        <w:tc>
          <w:tcPr>
            <w:tcW w:w="681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Adjusted FFO available to common stockholders and unit holders per diluted share/unit</w:t>
            </w:r>
            <w:r>
              <w:rPr>
                <w:rFonts w:ascii="Times New Roman;Times;serif" w:hAnsi="Times New Roman;Times;serif"/>
                <w:sz w:val="18"/>
              </w:rPr>
              <w:t xml:space="preserve"> </w:t>
            </w:r>
            <w:r>
              <w:rPr>
                <w:rFonts w:ascii="Times New Roman;Times;serif" w:hAnsi="Times New Roman;Times;serif"/>
                <w:b/>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9.13</w:t>
            </w:r>
          </w:p>
        </w:tc>
      </w:tr>
      <w:tr>
        <w:trPr/>
        <w:tc>
          <w:tcPr>
            <w:tcW w:w="681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81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 xml:space="preserve">Estimated weighted average shares outstanding - diluted (in millions) </w:t>
            </w:r>
            <w:r>
              <w:rPr>
                <w:rFonts w:ascii="Times New Roman;Times;serif" w:hAnsi="Times New Roman;Times;serif"/>
                <w:b/>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r>
      <w:tr>
        <w:trPr/>
        <w:tc>
          <w:tcPr>
            <w:tcW w:w="681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 xml:space="preserve">Estimated weighted average shares and OP units outstanding - diluted (in millions)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68.8</w:t>
            </w:r>
          </w:p>
        </w:tc>
      </w:tr>
    </w:tbl>
    <w:p>
      <w:pPr>
        <w:pStyle w:val="HorizontalLine"/>
        <w:pBdr>
          <w:bottom w:val="single" w:sz="6" w:space="0" w:color="000000"/>
        </w:pBdr>
        <w:bidi w:val="0"/>
        <w:spacing w:before="0" w:after="0"/>
        <w:ind w:left="0" w:right="7654" w:hanging="0"/>
        <w:jc w:val="left"/>
        <w:rPr/>
      </w:pPr>
      <w:r>
        <w:rPr/>
      </w:r>
    </w:p>
    <w:tbl>
      <w:tblPr>
        <w:tblW w:w="6550" w:type="dxa"/>
        <w:jc w:val="left"/>
        <w:tblInd w:w="0" w:type="dxa"/>
        <w:tblLayout w:type="fixed"/>
        <w:tblCellMar>
          <w:top w:w="0" w:type="dxa"/>
          <w:left w:w="0" w:type="dxa"/>
          <w:bottom w:w="0" w:type="dxa"/>
          <w:right w:w="0" w:type="dxa"/>
        </w:tblCellMar>
      </w:tblPr>
      <w:tblGrid>
        <w:gridCol w:w="230"/>
        <w:gridCol w:w="632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JW Marriott Desert Ridge. Amounts are calculated based on unrounded numbers.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the impact of approximately 3.0 million additional shares issued on May 21, 2025. Includes equivalent shares related to the currently unexercisable investor put rights associated with the noncontrolling interest in the Company’s OEG business, which may be settled in cash or shares at the Company’s option.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Reconciliation of Forward-Looking Statements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 Per Share and Adjusted FFO Per Share</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per share data)</w:t>
      </w:r>
    </w:p>
    <w:tbl>
      <w:tblPr>
        <w:tblW w:w="10205" w:type="dxa"/>
        <w:jc w:val="left"/>
        <w:tblInd w:w="0" w:type="dxa"/>
        <w:tblLayout w:type="fixed"/>
        <w:tblCellMar>
          <w:top w:w="0" w:type="dxa"/>
          <w:left w:w="0" w:type="dxa"/>
          <w:bottom w:w="0" w:type="dxa"/>
          <w:right w:w="0" w:type="dxa"/>
        </w:tblCellMar>
      </w:tblPr>
      <w:tblGrid>
        <w:gridCol w:w="6857"/>
        <w:gridCol w:w="109"/>
        <w:gridCol w:w="211"/>
        <w:gridCol w:w="781"/>
        <w:gridCol w:w="109"/>
        <w:gridCol w:w="211"/>
        <w:gridCol w:w="781"/>
        <w:gridCol w:w="109"/>
        <w:gridCol w:w="211"/>
        <w:gridCol w:w="826"/>
      </w:tblGrid>
      <w:tr>
        <w:trPr/>
        <w:tc>
          <w:tcPr>
            <w:tcW w:w="6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354195" cy="175260"/>
                      <wp:effectExtent l="0" t="0" r="0" b="0"/>
                      <wp:wrapNone/>
                      <wp:docPr id="446" name="Frame445"/>
                      <a:graphic xmlns:a="http://schemas.openxmlformats.org/drawingml/2006/main">
                        <a:graphicData uri="http://schemas.microsoft.com/office/word/2010/wordprocessingShape">
                          <wps:wsp>
                            <wps:cNvSpPr txBox="1"/>
                            <wps:spPr>
                              <a:xfrm>
                                <a:off x="0" y="0"/>
                                <a:ext cx="435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95935" cy="175260"/>
                      <wp:effectExtent l="0" t="0" r="0" b="0"/>
                      <wp:wrapNone/>
                      <wp:docPr id="449" name="Frame4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95935" cy="175260"/>
                      <wp:effectExtent l="0" t="0" r="0" b="0"/>
                      <wp:wrapNone/>
                      <wp:docPr id="452" name="Frame4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24510" cy="175260"/>
                      <wp:effectExtent l="0" t="0" r="0" b="0"/>
                      <wp:wrapNone/>
                      <wp:docPr id="455" name="Frame45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Guidance Range</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Full Year 2026</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Midpoint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Numerator: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272,000</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noncontrolling interest in OEG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 - if-converted method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281,000</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Estimated weighted average shares outstanding - diluted (in millions)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68.4</w:t>
            </w:r>
          </w:p>
        </w:tc>
      </w:tr>
      <w:tr>
        <w:trPr/>
        <w:tc>
          <w:tcPr>
            <w:tcW w:w="68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 available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4.11</w:t>
            </w:r>
          </w:p>
        </w:tc>
      </w:tr>
      <w:tr>
        <w:trPr/>
        <w:tc>
          <w:tcPr>
            <w:tcW w:w="68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FFO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Numerator: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592,250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616,750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604,500</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noncontrolling interest in OEG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FFO adjustments for noncontrolling interest in OEG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Adjustments for noncontrolling interest in OEG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available to common stockholders and unit holders - if-converted method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618,250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638,750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628,500</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Estimated weighted average shares and OP units outstanding - diluted (in millions)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6857"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FFO available to common stockholders and unit holders per diluted share/unit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9.13</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the impact of approximately 3.0 million additional shares issued on May 21, 2025. Includes equivalent shares related to the currently unexercisable investor put rights associated with the noncontrolling interest in the Company’s OEG business, which may be settled in cash or shares at the Company’s option. </w:t>
            </w:r>
          </w:p>
        </w:tc>
      </w:tr>
    </w:tbl>
    <w:p>
      <w:pPr>
        <w:pStyle w:val="TextBody"/>
        <w:bidi w:val="0"/>
        <w:spacing w:before="0" w:after="0"/>
        <w:ind w:left="0" w:right="0" w:hanging="0"/>
        <w:jc w:val="both"/>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Reconciliation of Forward-Looking Statements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9"/>
        </w:rPr>
        <w:t>Adjusted Earnings Before Interest, Taxes, Depreciation and Amortization for Real Estate (“Adjusted EBITDA</w:t>
      </w:r>
      <w:r>
        <w:rPr>
          <w:rFonts w:ascii="Times New Roman;Times;serif" w:hAnsi="Times New Roman;Times;serif"/>
          <w:b/>
          <w:i/>
          <w:sz w:val="19"/>
        </w:rPr>
        <w:t>re</w:t>
      </w:r>
      <w:r>
        <w:rPr>
          <w:rFonts w:ascii="Times New Roman;Times;serif" w:hAnsi="Times New Roman;Times;serif"/>
          <w:sz w:val="18"/>
        </w:rPr>
        <w:t>”</w:t>
      </w:r>
      <w:r>
        <w:rPr>
          <w:rFonts w:ascii="Times New Roman;Times;serif" w:hAnsi="Times New Roman;Times;serif"/>
          <w:b/>
          <w:sz w:val="19"/>
        </w:rPr>
        <w:t>)</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per share data)</w:t>
      </w:r>
    </w:p>
    <w:tbl>
      <w:tblPr>
        <w:tblW w:w="7009" w:type="dxa"/>
        <w:jc w:val="left"/>
        <w:tblInd w:w="0" w:type="dxa"/>
        <w:tblLayout w:type="fixed"/>
        <w:tblCellMar>
          <w:top w:w="0" w:type="dxa"/>
          <w:left w:w="0" w:type="dxa"/>
          <w:bottom w:w="0" w:type="dxa"/>
          <w:right w:w="0" w:type="dxa"/>
        </w:tblCellMar>
      </w:tblPr>
      <w:tblGrid>
        <w:gridCol w:w="3616"/>
        <w:gridCol w:w="109"/>
        <w:gridCol w:w="211"/>
        <w:gridCol w:w="796"/>
        <w:gridCol w:w="109"/>
        <w:gridCol w:w="211"/>
        <w:gridCol w:w="796"/>
        <w:gridCol w:w="109"/>
        <w:gridCol w:w="211"/>
        <w:gridCol w:w="84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296160" cy="175260"/>
                      <wp:effectExtent l="0" t="0" r="0" b="0"/>
                      <wp:wrapNone/>
                      <wp:docPr id="456" name="Frame455"/>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05460" cy="175260"/>
                      <wp:effectExtent l="0" t="0" r="0" b="0"/>
                      <wp:wrapNone/>
                      <wp:docPr id="459" name="Frame4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05460" cy="175260"/>
                      <wp:effectExtent l="0" t="0" r="0" b="0"/>
                      <wp:wrapNone/>
                      <wp:docPr id="462" name="Frame4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34035" cy="175260"/>
                      <wp:effectExtent l="0" t="0" r="0" b="0"/>
                      <wp:wrapNone/>
                      <wp:docPr id="465" name="Frame46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 Guidance Range</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Full Year 2026</w:t>
            </w:r>
            <w:r>
              <w:rPr>
                <w:rFonts w:ascii="Times New Roman;Times;serif" w:hAnsi="Times New Roman;Times;serif"/>
                <w:b/>
                <w:sz w:val="12"/>
              </w:rPr>
              <w:t>(1)</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Midpoint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271,000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279,000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275,000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251,125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308,750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EBITDA</w:t>
            </w:r>
            <w:r>
              <w:rPr>
                <w:rFonts w:ascii="Times New Roman;Times;serif" w:hAnsi="Times New Roman;Times;serif"/>
                <w:b/>
                <w:i/>
                <w:sz w:val="19"/>
              </w:rPr>
              <w:t>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831,750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862,500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847,125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4,125</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Preopening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Pension settlement charge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864,000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902,000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883,000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Hospitality segment: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509,000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520,500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514,750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268,500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783,000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807,000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795,000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Hospitality segment (same-store)</w:t>
            </w:r>
            <w:r>
              <w:rPr>
                <w:rFonts w:ascii="Times New Roman;Times;serif" w:hAnsi="Times New Roman;Times;serif"/>
                <w:b/>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475,500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485,500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480,500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233,500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income on Gaylord National bonds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715,000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735,000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725,000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JW Marriott Desert Ridge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33,500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35,000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34,250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68,000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70,000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Entertainment segment: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74,750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79,500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77,125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Preopening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130,000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125,000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Corporate and Other segment: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(49,000)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(49,750)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11,000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Pension settlement charge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gains and (losses),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Adjusted EBITDA</w:t>
            </w:r>
            <w:r>
              <w:rPr>
                <w:rFonts w:ascii="Times New Roman;Times;serif" w:hAnsi="Times New Roman;Times;serif"/>
                <w:b/>
                <w:i/>
                <w:sz w:val="19"/>
              </w:rPr>
              <w:t>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(37,000)</w:t>
            </w:r>
          </w:p>
        </w:tc>
      </w:tr>
    </w:tbl>
    <w:p>
      <w:pPr>
        <w:pStyle w:val="HorizontalLine"/>
        <w:pBdr>
          <w:bottom w:val="single" w:sz="6" w:space="0" w:color="000000"/>
        </w:pBdr>
        <w:bidi w:val="0"/>
        <w:spacing w:before="0" w:after="0"/>
        <w:ind w:left="0" w:right="7654" w:hanging="0"/>
        <w:jc w:val="left"/>
        <w:rPr/>
      </w:pPr>
      <w:r>
        <w:rPr/>
      </w:r>
    </w:p>
    <w:tbl>
      <w:tblPr>
        <w:tblW w:w="8410" w:type="dxa"/>
        <w:jc w:val="left"/>
        <w:tblInd w:w="0" w:type="dxa"/>
        <w:tblLayout w:type="fixed"/>
        <w:tblCellMar>
          <w:top w:w="0" w:type="dxa"/>
          <w:left w:w="0" w:type="dxa"/>
          <w:bottom w:w="0" w:type="dxa"/>
          <w:right w:w="0" w:type="dxa"/>
        </w:tblCellMar>
      </w:tblPr>
      <w:tblGrid>
        <w:gridCol w:w="230"/>
        <w:gridCol w:w="818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JW Marriott Desert Ridge, except as otherwise noted. Amounts are calculated based on unrounded numbers. </w:t>
            </w:r>
          </w:p>
        </w:tc>
      </w:tr>
    </w:tbl>
    <w:tbl>
      <w:tblPr>
        <w:tblW w:w="6790" w:type="dxa"/>
        <w:jc w:val="left"/>
        <w:tblInd w:w="0" w:type="dxa"/>
        <w:tblLayout w:type="fixed"/>
        <w:tblCellMar>
          <w:top w:w="0" w:type="dxa"/>
          <w:left w:w="0" w:type="dxa"/>
          <w:bottom w:w="0" w:type="dxa"/>
          <w:right w:w="0" w:type="dxa"/>
        </w:tblCellMar>
      </w:tblPr>
      <w:tblGrid>
        <w:gridCol w:w="230"/>
        <w:gridCol w:w="656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Same-store Hospitality excludes JW Marriott Desert Ridge, which was acquired June 10, 2025.</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Reconciliation of Forward-Looking Statements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Funds From Operations (“FFO”) and Adjusted FFO</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per share data)</w:t>
      </w:r>
    </w:p>
    <w:tbl>
      <w:tblPr>
        <w:tblW w:w="10205" w:type="dxa"/>
        <w:jc w:val="left"/>
        <w:tblInd w:w="0" w:type="dxa"/>
        <w:tblLayout w:type="fixed"/>
        <w:tblCellMar>
          <w:top w:w="0" w:type="dxa"/>
          <w:left w:w="0" w:type="dxa"/>
          <w:bottom w:w="0" w:type="dxa"/>
          <w:right w:w="0" w:type="dxa"/>
        </w:tblCellMar>
      </w:tblPr>
      <w:tblGrid>
        <w:gridCol w:w="6818"/>
        <w:gridCol w:w="109"/>
        <w:gridCol w:w="211"/>
        <w:gridCol w:w="793"/>
        <w:gridCol w:w="109"/>
        <w:gridCol w:w="211"/>
        <w:gridCol w:w="793"/>
        <w:gridCol w:w="109"/>
        <w:gridCol w:w="211"/>
        <w:gridCol w:w="841"/>
      </w:tblGrid>
      <w:tr>
        <w:trPr/>
        <w:tc>
          <w:tcPr>
            <w:tcW w:w="6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29430" cy="175260"/>
                      <wp:effectExtent l="0" t="0" r="0" b="0"/>
                      <wp:wrapNone/>
                      <wp:docPr id="466" name="Frame465"/>
                      <a:graphic xmlns:a="http://schemas.openxmlformats.org/drawingml/2006/main">
                        <a:graphicData uri="http://schemas.microsoft.com/office/word/2010/wordprocessingShape">
                          <wps:wsp>
                            <wps:cNvSpPr txBox="1"/>
                            <wps:spPr>
                              <a:xfrm>
                                <a:off x="0" y="0"/>
                                <a:ext cx="432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03555" cy="175260"/>
                      <wp:effectExtent l="0" t="0" r="0" b="0"/>
                      <wp:wrapNone/>
                      <wp:docPr id="469" name="Frame46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70"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03555" cy="175260"/>
                      <wp:effectExtent l="0" t="0" r="0" b="0"/>
                      <wp:wrapNone/>
                      <wp:docPr id="472" name="Frame47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9215" cy="175260"/>
                      <wp:effectExtent l="0" t="0" r="0" b="0"/>
                      <wp:wrapNone/>
                      <wp:docPr id="473" name="Frame4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4"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34035" cy="175260"/>
                      <wp:effectExtent l="0" t="0" r="0" b="0"/>
                      <wp:wrapNone/>
                      <wp:docPr id="475" name="Frame4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 Guidance Range</w:t>
            </w:r>
          </w:p>
        </w:tc>
      </w:tr>
      <w:tr>
        <w:trPr/>
        <w:tc>
          <w:tcPr>
            <w:tcW w:w="6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Full Year 2026</w:t>
            </w:r>
            <w:r>
              <w:rPr>
                <w:rFonts w:ascii="Times New Roman;Times;serif" w:hAnsi="Times New Roman;Times;serif"/>
                <w:b/>
                <w:sz w:val="12"/>
              </w:rPr>
              <w:t>(1)</w:t>
            </w:r>
          </w:p>
        </w:tc>
      </w:tr>
      <w:tr>
        <w:trPr/>
        <w:tc>
          <w:tcPr>
            <w:tcW w:w="6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109"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Midpoint</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available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261,000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267,000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264,000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Noncontrolling interest in OP units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income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262,000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269,000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265,500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308,750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for noncontrolling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(12,000)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FFO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552,000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572,500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562,250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4,125</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Pension settlement charge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4,250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for noncontrolling interest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13,250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Amortization of debt discounts and premiums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2,000</w:t>
            </w:r>
          </w:p>
        </w:tc>
      </w:tr>
      <w:tr>
        <w:trPr/>
        <w:tc>
          <w:tcPr>
            <w:tcW w:w="681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provision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8,000</w:t>
            </w:r>
          </w:p>
        </w:tc>
      </w:tr>
      <w:tr>
        <w:trPr/>
        <w:tc>
          <w:tcPr>
            <w:tcW w:w="6818"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Adjusted FFO available to common stockholders and unit 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577,250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607,000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592,125</w:t>
            </w:r>
          </w:p>
        </w:tc>
      </w:tr>
      <w:tr>
        <w:trPr/>
        <w:tc>
          <w:tcPr>
            <w:tcW w:w="68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681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Net income available to common stockholders per diluted share</w:t>
            </w:r>
            <w:r>
              <w:rPr>
                <w:rFonts w:ascii="Times New Roman;Times;serif" w:hAnsi="Times New Roman;Times;serif"/>
                <w:sz w:val="18"/>
              </w:rPr>
              <w:t xml:space="preserve">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3.99</w:t>
            </w:r>
          </w:p>
        </w:tc>
      </w:tr>
      <w:tr>
        <w:trPr/>
        <w:tc>
          <w:tcPr>
            <w:tcW w:w="681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Adjusted FFO available to common stockholders and unit holders per diluted share/unit</w:t>
            </w:r>
            <w:r>
              <w:rPr>
                <w:rFonts w:ascii="Times New Roman;Times;serif" w:hAnsi="Times New Roman;Times;serif"/>
                <w:sz w:val="18"/>
              </w:rPr>
              <w:t xml:space="preserve"> </w:t>
            </w:r>
            <w:r>
              <w:rPr>
                <w:rFonts w:ascii="Times New Roman;Times;serif" w:hAnsi="Times New Roman;Times;serif"/>
                <w:b/>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8.96</w:t>
            </w:r>
          </w:p>
        </w:tc>
      </w:tr>
      <w:tr>
        <w:trPr/>
        <w:tc>
          <w:tcPr>
            <w:tcW w:w="6818"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818"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 xml:space="preserve">Estimated weighted average shares outstanding - diluted (in millions) </w:t>
            </w:r>
            <w:r>
              <w:rPr>
                <w:rFonts w:ascii="Times New Roman;Times;serif" w:hAnsi="Times New Roman;Times;serif"/>
                <w:b/>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r>
      <w:tr>
        <w:trPr/>
        <w:tc>
          <w:tcPr>
            <w:tcW w:w="6818"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19"/>
              </w:rPr>
              <w:t xml:space="preserve">Estimated weighted average shares and OP units outstanding - diluted (in millions) </w:t>
            </w:r>
            <w:r>
              <w:rPr>
                <w:rFonts w:ascii="Times New Roman;Times;serif" w:hAnsi="Times New Roman;Times;serif"/>
                <w:b/>
                <w:sz w:val="14"/>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68.8</w:t>
            </w:r>
          </w:p>
        </w:tc>
      </w:tr>
    </w:tbl>
    <w:p>
      <w:pPr>
        <w:pStyle w:val="HorizontalLine"/>
        <w:pBdr>
          <w:bottom w:val="single" w:sz="6" w:space="0" w:color="000000"/>
        </w:pBdr>
        <w:bidi w:val="0"/>
        <w:spacing w:before="0" w:after="0"/>
        <w:ind w:left="0" w:right="7654" w:hanging="0"/>
        <w:jc w:val="left"/>
        <w:rPr/>
      </w:pPr>
      <w:r>
        <w:rPr/>
      </w:r>
    </w:p>
    <w:tbl>
      <w:tblPr>
        <w:tblW w:w="6550" w:type="dxa"/>
        <w:jc w:val="left"/>
        <w:tblInd w:w="0" w:type="dxa"/>
        <w:tblLayout w:type="fixed"/>
        <w:tblCellMar>
          <w:top w:w="0" w:type="dxa"/>
          <w:left w:w="0" w:type="dxa"/>
          <w:bottom w:w="0" w:type="dxa"/>
          <w:right w:w="0" w:type="dxa"/>
        </w:tblCellMar>
      </w:tblPr>
      <w:tblGrid>
        <w:gridCol w:w="230"/>
        <w:gridCol w:w="632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JW Marriott Desert Ridge. Amounts are calculated based on unrounded numbers.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equivalent shares related to the currently unexercisable investor put rights associated with the noncontrolling interest in the Company’s OEG business, which may be settled in cash or shares at the Company’s option. </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Ryman Hospitality Properties, Inc. and Subsidiaries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Reconciliation of Forward-Looking Statements</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 Per Share and Adjusted FFO Per Share</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w:t>
      </w:r>
    </w:p>
    <w:p>
      <w:pPr>
        <w:pStyle w:val="TextBody"/>
        <w:bidi w:val="0"/>
        <w:spacing w:before="0" w:after="240"/>
        <w:ind w:left="0" w:right="0" w:hanging="0"/>
        <w:jc w:val="center"/>
        <w:rPr>
          <w:rFonts w:ascii="Times New Roman;Times;serif" w:hAnsi="Times New Roman;Times;serif"/>
          <w:sz w:val="19"/>
        </w:rPr>
      </w:pPr>
      <w:r>
        <w:rPr>
          <w:rFonts w:ascii="Times New Roman;Times;serif" w:hAnsi="Times New Roman;Times;serif"/>
          <w:sz w:val="19"/>
        </w:rPr>
        <w:t>($ in thousands, except per share data)</w:t>
      </w:r>
    </w:p>
    <w:tbl>
      <w:tblPr>
        <w:tblW w:w="10205" w:type="dxa"/>
        <w:jc w:val="left"/>
        <w:tblInd w:w="0" w:type="dxa"/>
        <w:tblLayout w:type="fixed"/>
        <w:tblCellMar>
          <w:top w:w="0" w:type="dxa"/>
          <w:left w:w="0" w:type="dxa"/>
          <w:bottom w:w="0" w:type="dxa"/>
          <w:right w:w="0" w:type="dxa"/>
        </w:tblCellMar>
      </w:tblPr>
      <w:tblGrid>
        <w:gridCol w:w="6857"/>
        <w:gridCol w:w="109"/>
        <w:gridCol w:w="211"/>
        <w:gridCol w:w="781"/>
        <w:gridCol w:w="109"/>
        <w:gridCol w:w="211"/>
        <w:gridCol w:w="781"/>
        <w:gridCol w:w="109"/>
        <w:gridCol w:w="211"/>
        <w:gridCol w:w="826"/>
      </w:tblGrid>
      <w:tr>
        <w:trPr/>
        <w:tc>
          <w:tcPr>
            <w:tcW w:w="6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354195" cy="175260"/>
                      <wp:effectExtent l="0" t="0" r="0" b="0"/>
                      <wp:wrapNone/>
                      <wp:docPr id="476" name="Frame475"/>
                      <a:graphic xmlns:a="http://schemas.openxmlformats.org/drawingml/2006/main">
                        <a:graphicData uri="http://schemas.microsoft.com/office/word/2010/wordprocessingShape">
                          <wps:wsp>
                            <wps:cNvSpPr txBox="1"/>
                            <wps:spPr>
                              <a:xfrm>
                                <a:off x="0" y="0"/>
                                <a:ext cx="435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7"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95935" cy="175260"/>
                      <wp:effectExtent l="0" t="0" r="0" b="0"/>
                      <wp:wrapNone/>
                      <wp:docPr id="479" name="Frame4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95935" cy="175260"/>
                      <wp:effectExtent l="0" t="0" r="0" b="0"/>
                      <wp:wrapNone/>
                      <wp:docPr id="482" name="Frame4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24510" cy="175260"/>
                      <wp:effectExtent l="0" t="0" r="0" b="0"/>
                      <wp:wrapNone/>
                      <wp:docPr id="485" name="Frame4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 Guidance Range</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Full Year 2026</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Midpoint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Numerator: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264,000</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noncontrolling interest in OEG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9,000</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available to common stockholders - if-converted method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273,000</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Estimated weighted average shares outstanding - diluted (in millions)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68.4</w:t>
            </w:r>
          </w:p>
        </w:tc>
      </w:tr>
      <w:tr>
        <w:trPr/>
        <w:tc>
          <w:tcPr>
            <w:tcW w:w="68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 available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3.99</w:t>
            </w:r>
          </w:p>
        </w:tc>
      </w:tr>
      <w:tr>
        <w:trPr/>
        <w:tc>
          <w:tcPr>
            <w:tcW w:w="68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FFO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Numerator: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available to common stockholders and unit 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577,250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607,000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592,125</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attributable to noncontrolling interest in OEG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FFO adjustments for noncontrolling interest in OEG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Adjustments for noncontrolling interest in OEG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Adjusted FFO available to common stockholders and unit holders - if-converted method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603,250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629,000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616,125</w:t>
            </w:r>
          </w:p>
        </w:tc>
      </w:tr>
      <w:tr>
        <w:trPr/>
        <w:tc>
          <w:tcPr>
            <w:tcW w:w="6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8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Estimated weighted average shares and OP units outstanding - diluted (in millions) </w:t>
            </w: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6857"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85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FFO available to common stockholders and unit holders per diluted share/unit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8.77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9.14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8.96</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equivalent shares related to the currently unexercisable investor put rights associated with the noncontrolling interest in the Company’s OEG business, which may be settled in cash or shares at the Company’s option. </w:t>
            </w:r>
          </w:p>
        </w:tc>
      </w:tr>
    </w:tbl>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11706</Words>
  <Characters>61504</Characters>
  <CharactersWithSpaces>78633</CharactersWithSpaces>
  <Paragraphs>14619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