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756d1_8k.htm"/>
      <w:bookmarkStart w:id="1" w:name="kstm262375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8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2_edei--EntityRegistrantName_c2026"/>
      <w:bookmarkEnd w:id="4"/>
      <w:r>
        <w:rPr>
          <w:rFonts w:ascii="Times New Roman;Times;Serif" w:hAnsi="Times New Roman;Times;Serif"/>
          <w:b/>
          <w:i w:val="false"/>
          <w:caps w:val="false"/>
          <w:smallCaps w:val="false"/>
          <w:sz w:val="48"/>
        </w:rPr>
        <w:t>RYMAN HOSPITALITY PROPERTIES,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D_edei--EntityFileNumber_c20260825"/>
            <w:bookmarkEnd w:id="6"/>
            <w:r>
              <w:rPr>
                <w:b/>
                <w:sz w:val="20"/>
              </w:rPr>
              <w:t>1-13079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3_edei--EntityTaxIdentificationNum"/>
            <w:bookmarkEnd w:id="7"/>
            <w:r>
              <w:rPr>
                <w:b/>
                <w:sz w:val="20"/>
              </w:rPr>
              <w:t>73-0664379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pPr>
      <w:r>
        <w:rPr/>
        <w:t> </w:t>
      </w:r>
    </w:p>
    <w:tbl>
      <w:tblPr>
        <w:tblW w:w="4345" w:type="dxa"/>
        <w:jc w:val="left"/>
        <w:tblInd w:w="0" w:type="dxa"/>
        <w:tblLayout w:type="fixed"/>
        <w:tblCellMar>
          <w:top w:w="0" w:type="dxa"/>
          <w:left w:w="0" w:type="dxa"/>
          <w:bottom w:w="0" w:type="dxa"/>
          <w:right w:w="0" w:type="dxa"/>
        </w:tblCellMar>
      </w:tblPr>
      <w:tblGrid>
        <w:gridCol w:w="75"/>
        <w:gridCol w:w="3275"/>
        <w:gridCol w:w="920"/>
        <w:gridCol w:w="75"/>
      </w:tblGrid>
      <w:tr>
        <w:trPr/>
        <w:tc>
          <w:tcPr>
            <w:tcW w:w="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One Gaylord Drive</w:t>
              <w:br/>
            </w:r>
            <w:bookmarkStart w:id="9" w:name="xdx_901_edei--EntityAddressCityOrTown_c2"/>
            <w:bookmarkEnd w:id="9"/>
            <w:r>
              <w:rPr>
                <w:rFonts w:ascii="Times New Roman;Times;Serif" w:hAnsi="Times New Roman;Times;Serif"/>
                <w:b/>
                <w:i w:val="false"/>
                <w:caps w:val="false"/>
                <w:smallCaps w:val="false"/>
                <w:sz w:val="20"/>
              </w:rPr>
              <w:t xml:space="preserve">Nashville, </w:t>
            </w:r>
            <w:bookmarkStart w:id="10" w:name="xdx_907_edei--EntityAddressStateOrProvin"/>
            <w:bookmarkEnd w:id="10"/>
            <w:r>
              <w:rPr>
                <w:rFonts w:ascii="Times New Roman;Times;Serif" w:hAnsi="Times New Roman;Times;Serif"/>
                <w:b/>
                <w:i w:val="false"/>
                <w:caps w:val="false"/>
                <w:smallCaps w:val="false"/>
                <w:sz w:val="20"/>
              </w:rPr>
              <w:t>Tennessee</w:t>
            </w:r>
          </w:p>
        </w:tc>
        <w:tc>
          <w:tcPr>
            <w:tcW w:w="920" w:type="dxa"/>
            <w:tcBorders/>
            <w:vAlign w:val="center"/>
          </w:tcPr>
          <w:p>
            <w:pPr>
              <w:pStyle w:val="TableContents"/>
              <w:bidi w:val="0"/>
              <w:spacing w:before="0" w:after="283"/>
              <w:jc w:val="center"/>
              <w:rPr>
                <w:b/>
                <w:sz w:val="20"/>
              </w:rPr>
            </w:pPr>
            <w:bookmarkStart w:id="11" w:name="xdx_905_edei--EntityAddressPostalZipCode"/>
            <w:bookmarkEnd w:id="11"/>
            <w:r>
              <w:rPr>
                <w:b/>
                <w:sz w:val="20"/>
              </w:rPr>
              <w:t>37214</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b/>
                <w:sz w:val="20"/>
              </w:rPr>
            </w:pPr>
            <w:r>
              <w:rPr>
                <w:b/>
                <w:sz w:val="20"/>
              </w:rPr>
              <w:t>(Address of principal executive offices)</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0_edei--CityAreaCode_c20260825__20"/>
      <w:bookmarkEnd w:id="12"/>
      <w:r>
        <w:rPr>
          <w:rFonts w:ascii="Times New Roman;Times;Serif" w:hAnsi="Times New Roman;Times;Serif"/>
          <w:b/>
          <w:i w:val="false"/>
          <w:caps w:val="false"/>
          <w:smallCaps w:val="false"/>
          <w:sz w:val="20"/>
        </w:rPr>
        <w:t>615) </w:t>
      </w:r>
      <w:bookmarkStart w:id="13" w:name="xdx_90F_edei--LocalPhoneNumber_c20260825"/>
      <w:bookmarkEnd w:id="13"/>
      <w:r>
        <w:rPr>
          <w:rFonts w:ascii="Times New Roman;Times;Serif" w:hAnsi="Times New Roman;Times;Serif"/>
          <w:b/>
          <w:i w:val="false"/>
          <w:caps w:val="false"/>
          <w:smallCaps w:val="false"/>
          <w:sz w:val="20"/>
        </w:rPr>
        <w:t>316-6000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firstLine="462"/>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D_edei--SolicitingMaterial_c202608"/>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75"/>
        <w:gridCol w:w="4670"/>
      </w:tblGrid>
      <w:tr>
        <w:trPr/>
        <w:tc>
          <w:tcPr>
            <w:tcW w:w="7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sz w:val="20"/>
              </w:rPr>
            </w:pPr>
            <w:r>
              <w:rPr>
                <w:sz w:val="20"/>
              </w:rPr>
              <w:t>Securities registered pursuant to Section 12(b) of the Act:</w:t>
            </w:r>
          </w:p>
        </w:tc>
      </w:tr>
    </w:tbl>
    <w:p>
      <w:pPr>
        <w:pStyle w:val="TextBody"/>
        <w:bidi w:val="0"/>
        <w:spacing w:before="0" w:after="0"/>
        <w:ind w:left="0" w:right="0" w:hanging="0"/>
        <w:jc w:val="both"/>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2540"/>
        <w:gridCol w:w="60"/>
        <w:gridCol w:w="1535"/>
        <w:gridCol w:w="60"/>
        <w:gridCol w:w="2315"/>
      </w:tblGrid>
      <w:tr>
        <w:trPr/>
        <w:tc>
          <w:tcPr>
            <w:tcW w:w="254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315" w:type="dxa"/>
            <w:tcBorders>
              <w:bottom w:val="single" w:sz="8" w:space="0" w:color="000000"/>
            </w:tcBorders>
            <w:vAlign w:val="center"/>
          </w:tcPr>
          <w:p>
            <w:pPr>
              <w:pStyle w:val="TableContents"/>
              <w:bidi w:val="0"/>
              <w:spacing w:before="0" w:after="283"/>
              <w:jc w:val="center"/>
              <w:rPr>
                <w:sz w:val="20"/>
              </w:rPr>
            </w:pPr>
            <w:r>
              <w:rPr>
                <w:sz w:val="20"/>
              </w:rPr>
              <w:t xml:space="preserve">Name of Each Exchange on </w:t>
              <w:br/>
              <w:t>Which Registered</w:t>
            </w:r>
          </w:p>
        </w:tc>
      </w:tr>
      <w:tr>
        <w:trPr/>
        <w:tc>
          <w:tcPr>
            <w:tcW w:w="2540" w:type="dxa"/>
            <w:tcBorders/>
            <w:tcMar>
              <w:bottom w:w="0" w:type="dxa"/>
            </w:tcMar>
            <w:vAlign w:val="center"/>
          </w:tcPr>
          <w:p>
            <w:pPr>
              <w:pStyle w:val="TableContents"/>
              <w:bidi w:val="0"/>
              <w:spacing w:before="0" w:after="283"/>
              <w:jc w:val="center"/>
              <w:rPr>
                <w:sz w:val="20"/>
              </w:rPr>
            </w:pPr>
            <w:bookmarkStart w:id="18" w:name="xdx_902_edei--Security12bTitle_c20260825"/>
            <w:bookmarkEnd w:id="18"/>
            <w:r>
              <w:rPr>
                <w:sz w:val="20"/>
              </w:rPr>
              <w:t>Common Stock, par value $.01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C_edei--TradingSymbol_c20260825__2"/>
            <w:bookmarkEnd w:id="19"/>
            <w:r>
              <w:rPr>
                <w:sz w:val="20"/>
              </w:rPr>
              <w:t>RHP</w:t>
            </w:r>
          </w:p>
        </w:tc>
        <w:tc>
          <w:tcPr>
            <w:tcW w:w="60" w:type="dxa"/>
            <w:tcBorders/>
            <w:tcMar>
              <w:bottom w:w="0" w:type="dxa"/>
            </w:tcMar>
            <w:vAlign w:val="center"/>
          </w:tcPr>
          <w:p>
            <w:pPr>
              <w:pStyle w:val="TableContents"/>
              <w:bidi w:val="0"/>
              <w:spacing w:before="0" w:after="283"/>
              <w:jc w:val="center"/>
              <w:rPr/>
            </w:pPr>
            <w:r>
              <w:rPr/>
              <w:t> </w:t>
            </w:r>
          </w:p>
        </w:tc>
        <w:tc>
          <w:tcPr>
            <w:tcW w:w="2315" w:type="dxa"/>
            <w:tcBorders/>
            <w:tcMar>
              <w:bottom w:w="0" w:type="dxa"/>
            </w:tcMar>
            <w:vAlign w:val="center"/>
          </w:tcPr>
          <w:p>
            <w:pPr>
              <w:pStyle w:val="TableContents"/>
              <w:bidi w:val="0"/>
              <w:spacing w:before="0" w:after="283"/>
              <w:jc w:val="center"/>
              <w:rPr>
                <w:sz w:val="20"/>
              </w:rPr>
            </w:pPr>
            <w:bookmarkStart w:id="20" w:name="xdx_901_edei--SecurityExchangeName_c2026"/>
            <w:bookmarkEnd w:id="20"/>
            <w:r>
              <w:rPr>
                <w:sz w:val="20"/>
              </w:rPr>
              <w:t>New York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20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b/>
              </w:rPr>
            </w:pPr>
            <w:r>
              <w:rPr>
                <w:b/>
              </w:rPr>
              <w:t>ITEM 1.01.</w:t>
            </w:r>
          </w:p>
        </w:tc>
        <w:tc>
          <w:tcPr>
            <w:tcW w:w="6470"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Ryman Hospitality Properties, Inc., a Delaware corporation (the “Company”), its subsidiaries RHP Hotel Properties, LP, a Delaware limited partnership (the “Operating Partnership”), and RHP Finance Corporation (together with the Operating Partnership, the “Issuers”), and certain of the Company’s other subsidiaries named as guarantors (each such subsidiary and the Company individually, a “Guarantor” and, collectively the “Guarantors”) entered into an indenture (the “Indenture”) with U.S. Bank Trust Company, National Association, as trustee (the “Trustee”), pursuant to which the Issuers issued $700 million aggregate principal amount of 6.250% Senior Notes due 2035 (the “Notes”), which are guaranteed by the Guarantors (the “Guarantees”).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Partnership intends to use the net proceeds from the Notes offering to fund a portion of the approximately $1.38 billion purchase price to acquire the JW Marriott Orlando Grande Lakes Resort and The Ritz-Carlton Orlando, Grande Lakes located in Orlando, Florida (collectively, the “Grande Lakes Acquisition”) and to pay related fees and expenses. The balance of the purchase price of the Grande Lakes Acquisition will be funded with a combination of the net proceeds of the Company’s underwritten registered public offering of 5,865,000 shares of common stock (which includes the full exercise of the underwriters’ option to purchase additional shares) at the public offering price of $117.00 per share, which closed on August 12, 2026, and cash on hand.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Grande Lakes Acquisition is not consummated, the Notes will be redeemed in accordance with a special mandatory redemption at a redemption price equal to 100% of the issue price of the Notes plus accrued and unpaid interest, if any, up to, but excluding,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general unsecured senior obligations of the Issuers, ranking equal in right of payment with existing and future senior unsecured indebtedness, including the Issuers’ existing senior notes, and senior in right of payment to any future subordinated indebtedness. The Notes will be effectively junior to any of the Issuers’ secured indebtedness, including the Operating Partnership’s existing credit facility, to the extent of the value of the assets securing such indebtedness and structurally subordinated to all indebtedness and other obligations of the Operating Partnership’s subsidiaries that do not guarantee the Notes. The Guarantees rank equally in right of payment with the applicable Guarantor’s existing and future senior unsecured indebtedness and senior in right of payment to any future subordinated indebtedness of such Guarantor. The Notes are effectively junior to any secured indebtedness of any Guarantor to the extent of the value of the assets securing such indebtedness and structurally subordinated to all indebtedness and other obligations of the Operating Partnership’s subsidiaries that do not guarantee the Notes.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will be payable on February 15 and August 15 of each year, beginning on February 15, 2027, with the Notes maturing on February 15, 2035.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may redeem the Notes at any time prior to August 15, 2029, in whole or in part, at a redemption price equal to 100% of the principal amount plus accrued and unpaid interest, if any, up to, but excluding, the applicable redemption date plus a make-whole redemption premium. The Issuers may redeem the Notes at any time on or after August 15, 2029, in whole or in part, at the redemption prices (expressed as percentages of the principal amount thereof) set forth below, plus accrued and unpaid interest, if any, up to, but excluding, the redemption date, if redeemed during the 12-month period beginning on August 15 of each of the years indicated below:</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28" w:type="dxa"/>
          <w:right w:w="0" w:type="dxa"/>
        </w:tblCellMar>
      </w:tblPr>
      <w:tblGrid>
        <w:gridCol w:w="1610"/>
        <w:gridCol w:w="60"/>
        <w:gridCol w:w="76"/>
        <w:gridCol w:w="889"/>
        <w:gridCol w:w="200"/>
      </w:tblGrid>
      <w:tr>
        <w:trPr/>
        <w:tc>
          <w:tcPr>
            <w:tcW w:w="1610" w:type="dxa"/>
            <w:tcBorders>
              <w:bottom w:val="single" w:sz="8" w:space="0" w:color="000000"/>
            </w:tcBorders>
            <w:vAlign w:val="center"/>
          </w:tcPr>
          <w:p>
            <w:pPr>
              <w:pStyle w:val="TableContents"/>
              <w:bidi w:val="0"/>
              <w:spacing w:before="0" w:after="283"/>
              <w:jc w:val="left"/>
              <w:rPr>
                <w:b/>
                <w:sz w:val="20"/>
              </w:rPr>
            </w:pPr>
            <w:r>
              <w:rPr>
                <w:b/>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tcMar>
              <w:bottom w:w="0" w:type="dxa"/>
            </w:tcM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103.125</w:t>
            </w:r>
          </w:p>
        </w:tc>
        <w:tc>
          <w:tcPr>
            <w:tcW w:w="200" w:type="dxa"/>
            <w:tcBorders/>
            <w:shd w:fill="CCEEFF" w:val="clear"/>
            <w:tcMar>
              <w:bottom w:w="0" w:type="dxa"/>
            </w:tcM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101.563</w:t>
            </w:r>
          </w:p>
        </w:tc>
        <w:tc>
          <w:tcPr>
            <w:tcW w:w="200" w:type="dxa"/>
            <w:tcBorders/>
            <w:shd w:fill="FFFFFF" w:val="clear"/>
            <w:tcMar>
              <w:bottom w:w="0" w:type="dxa"/>
            </w:tcM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Issuers may redeem up to 40% of the Notes before August 15, 2029 with the cash proceeds of certain equity offerings at a redemption price equal to 106.250% of the principal amount plus accrued and unpaid interest, if any, up to, but excluding, the redemption date. However, the Issuers may only make such redemptions if at least 60% of the original aggregate principal amount of the Notes issued under the Indenture remains outstanding immediately after the occurrence of such redemption. In the event of a Change of Control Triggering Event (as defined in the Indenture) of the Company or the Issuers, the Issuers will be required to offer to repurchase some or all of the Notes at 101% of their principal amount, plus accrued and unpaid interest, if any, up to, but excluding, the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Indenture restrict the ability of the Company and certain of its subsidiaries to borrow money, create liens on assets, make distributions and pay dividends on or redeem or repurchase stock, make certain types of investments, sell stock in certain subsidiaries, enter into agreements that restrict dividends or other payments from subsidiaries, enter into transactions with affiliates, issue guarantees of debt, and sell assets or merge with other companies. These limitations are subject to a number of important exceptions and qualifications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for customary events of default which include (subject in certain cases to grace and cure periods), among others: nonpayment of principal or interest or premium; breach of covenants or other agreements in the Indenture; defaults in failure to pay certain other indebtedness; the failure to pay certain final judgments; and certain events of bankruptcy, insolvency or reorganization. Generally, if an event of default occurs and is continuing under the Indenture, either the Trustee or the holders of at least 25% in aggregate principal amount of the Notes then outstanding may declare the principal amount plus accrued and unpaid interest on the Notes to be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Indenture does not purport to be complete and is qualified in its entirety by reference to the Indenture, including the form of Note attached thereto, which are attached hereto as </w:t>
      </w:r>
      <w:r>
        <w:rPr>
          <w:rFonts w:ascii="Times New Roman;Times;Serif" w:hAnsi="Times New Roman;Times;Serif"/>
          <w:b w:val="false"/>
          <w:i w:val="false"/>
          <w:caps w:val="false"/>
          <w:smallCaps w:val="false"/>
          <w:sz w:val="20"/>
          <w:u w:val="single"/>
        </w:rPr>
        <w:t>Exhibit 4.1</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Exhibit 4.2</w:t>
      </w:r>
      <w:r>
        <w:rPr>
          <w:rFonts w:ascii="Times New Roman;Times;Serif" w:hAnsi="Times New Roman;Times;Serif"/>
          <w:b w:val="false"/>
          <w:i w:val="false"/>
          <w:caps w:val="false"/>
          <w:smallCaps w:val="false"/>
          <w:sz w:val="20"/>
        </w:rPr>
        <w:t>, respectively,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Relationships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affiliates of the Trustee act as lenders and/or agents under the Operating Partnership’s existing credit facility and may hold the Notes and the Issuers’ existing senior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24"/>
        <w:gridCol w:w="9243"/>
      </w:tblGrid>
      <w:tr>
        <w:trPr/>
        <w:tc>
          <w:tcPr>
            <w:tcW w:w="3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b/>
              </w:rPr>
            </w:pPr>
            <w:r>
              <w:rPr>
                <w:b/>
              </w:rPr>
              <w:t>ITEM 2.03.</w:t>
            </w:r>
          </w:p>
        </w:tc>
        <w:tc>
          <w:tcPr>
            <w:tcW w:w="9243"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included above in Item 1.01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205"/>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b/>
              </w:rPr>
            </w:pPr>
            <w:r>
              <w:rPr>
                <w:b/>
              </w:rPr>
              <w:t>ITEM 9.01.</w:t>
            </w:r>
          </w:p>
        </w:tc>
        <w:tc>
          <w:tcPr>
            <w:tcW w:w="50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w:anchor="tm2623756d1_ex4-1.htm">
              <w:r>
                <w:rPr>
                  <w:rStyle w:val="InternetLink"/>
                </w:rPr>
                <w:t>4.1</w:t>
              </w:r>
            </w:hyperlink>
          </w:p>
        </w:tc>
        <w:tc>
          <w:tcPr>
            <w:tcW w:w="9847" w:type="dxa"/>
            <w:tcBorders/>
            <w:vAlign w:val="center"/>
          </w:tcPr>
          <w:p>
            <w:pPr>
              <w:pStyle w:val="TableContents"/>
              <w:bidi w:val="0"/>
              <w:spacing w:before="0" w:after="283"/>
              <w:jc w:val="left"/>
              <w:rPr/>
            </w:pPr>
            <w:hyperlink w:anchor="tm2623756d1_ex4-1.htm">
              <w:r>
                <w:rPr>
                  <w:rStyle w:val="InternetLink"/>
                </w:rPr>
                <w:t>Indenture, dated as of August 25, 2026, among RHP Hotel Properties, LP, RHP Finance Corporation, Ryman Hospitality Properties, Inc., as a guarantor, each of the other guarantors named therein and U.S. Bank Trust Company, National Association, as trustee.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32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w:anchor="tm2623756d1_ex4-1.htm">
              <w:r>
                <w:rPr>
                  <w:rStyle w:val="InternetLink"/>
                </w:rPr>
                <w:t>4.2</w:t>
              </w:r>
            </w:hyperlink>
          </w:p>
        </w:tc>
        <w:tc>
          <w:tcPr>
            <w:tcW w:w="9665" w:type="dxa"/>
            <w:tcBorders/>
            <w:vAlign w:val="center"/>
          </w:tcPr>
          <w:p>
            <w:pPr>
              <w:pStyle w:val="TableContents"/>
              <w:bidi w:val="0"/>
              <w:spacing w:before="0" w:after="283"/>
              <w:jc w:val="both"/>
              <w:rPr/>
            </w:pPr>
            <w:hyperlink w:anchor="tm2623756d1_ex4-1.htm">
              <w:r>
                <w:rPr>
                  <w:rStyle w:val="InternetLink"/>
                </w:rPr>
                <w:t>Form of 6.250% Senior Note due 2035 (incorporated by reference to Exhibit A to Exhibit 4.1 hereof).</w:t>
              </w:r>
            </w:hyperlink>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38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7685" w:type="dxa"/>
            <w:tcBorders/>
            <w:vAlign w:val="center"/>
          </w:tcPr>
          <w:p>
            <w:pPr>
              <w:pStyle w:val="TableContents"/>
              <w:bidi w:val="0"/>
              <w:spacing w:before="0" w:after="283"/>
              <w:jc w:val="both"/>
              <w:rPr>
                <w:shd w:fill="FFFFFF" w:val="clear"/>
              </w:rPr>
            </w:pPr>
            <w:r>
              <w:rPr>
                <w:shd w:fill="FFFFFF" w:val="clea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1865"/>
        <w:gridCol w:w="545"/>
        <w:gridCol w:w="46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25,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J. Lynn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J. Lynn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3756d1_ex4-1.htm"/>
      <w:bookmarkStart w:id="23" w:name="kstm2623756d1_ex4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RHP HOTEL PROPERTIES,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RHP FINANCE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Parent and a Guarantor,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other GUARANTORS named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6.250% Senior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1040"/>
        <w:gridCol w:w="5330"/>
        <w:gridCol w:w="275"/>
      </w:tblGrid>
      <w:tr>
        <w:trPr/>
        <w:tc>
          <w:tcPr>
            <w:tcW w:w="63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 DEFINITIONS AND INCORPORATION BY REFERENCE</w:t>
            </w:r>
          </w:p>
        </w:tc>
        <w:tc>
          <w:tcPr>
            <w:tcW w:w="275" w:type="dxa"/>
            <w:tcBorders/>
            <w:vAlign w:val="center"/>
          </w:tcPr>
          <w:p>
            <w:pPr>
              <w:pStyle w:val="TableContents"/>
              <w:bidi w:val="0"/>
              <w:spacing w:before="0" w:after="283"/>
              <w:jc w:val="right"/>
              <w:rPr>
                <w:b/>
              </w:rPr>
            </w:pPr>
            <w:r>
              <w:rPr>
                <w:b/>
              </w:rPr>
              <w:t>1</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1.02</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Definitions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1.03</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Incorporation by Reference of Trust Indenture Act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1.04</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Rules of Construction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1.05</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Certain Compliance Calculations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w:t>
            </w:r>
          </w:p>
        </w:tc>
      </w:tr>
      <w:tr>
        <w:trPr/>
        <w:tc>
          <w:tcPr>
            <w:tcW w:w="63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 THE NOTES</w:t>
            </w:r>
          </w:p>
        </w:tc>
        <w:tc>
          <w:tcPr>
            <w:tcW w:w="275" w:type="dxa"/>
            <w:tcBorders/>
            <w:vAlign w:val="center"/>
          </w:tcPr>
          <w:p>
            <w:pPr>
              <w:pStyle w:val="TableContents"/>
              <w:bidi w:val="0"/>
              <w:spacing w:before="0" w:after="283"/>
              <w:jc w:val="right"/>
              <w:rPr>
                <w:b/>
              </w:rPr>
            </w:pPr>
            <w:r>
              <w:rPr>
                <w:b/>
              </w:rPr>
              <w:t>34</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2.01</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 and Dating</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2.02</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Execution, Authentication and Denomination; Additional Notes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2.03</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Registrar and Paying Agent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2.04</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Paying Agent To Hold Assets in Trust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2.05</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Holder Lists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2.06</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and Exchange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2.07</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Replacement Notes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2.08</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Outstanding Notes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2.09</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Treasury Notes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2.10</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Temporary Notes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2.11</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Cancellation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2.12</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Defaulted Interest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2.13</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and ISIN Numbers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2.14</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Book-Entry Provisions for Global Notes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2.15</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Transfer and Exchange Provisions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40</w:t>
            </w:r>
          </w:p>
        </w:tc>
      </w:tr>
      <w:tr>
        <w:trPr/>
        <w:tc>
          <w:tcPr>
            <w:tcW w:w="63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III REDEMPTION</w:t>
            </w:r>
          </w:p>
        </w:tc>
        <w:tc>
          <w:tcPr>
            <w:tcW w:w="275" w:type="dxa"/>
            <w:tcBorders/>
            <w:vAlign w:val="center"/>
          </w:tcPr>
          <w:p>
            <w:pPr>
              <w:pStyle w:val="TableContents"/>
              <w:bidi w:val="0"/>
              <w:spacing w:before="0" w:after="283"/>
              <w:jc w:val="right"/>
              <w:rPr>
                <w:b/>
              </w:rPr>
            </w:pPr>
            <w:r>
              <w:rPr>
                <w:b/>
              </w:rPr>
              <w:t>43</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3.01</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 to Trustee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3.02</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Selection of Notes To Be Redeemed</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3.03</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of Redemption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3.04</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Notice of Redemption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3.05</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Deposit of Redemption Price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3.06</w:t>
            </w:r>
          </w:p>
        </w:tc>
        <w:tc>
          <w:tcPr>
            <w:tcW w:w="5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Redeemed in Part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850" w:type="dxa"/>
        <w:jc w:val="left"/>
        <w:tblInd w:w="0" w:type="dxa"/>
        <w:tblLayout w:type="fixed"/>
        <w:tblCellMar>
          <w:top w:w="0" w:type="dxa"/>
          <w:left w:w="0" w:type="dxa"/>
          <w:bottom w:w="0" w:type="dxa"/>
          <w:right w:w="0" w:type="dxa"/>
        </w:tblCellMar>
      </w:tblPr>
      <w:tblGrid>
        <w:gridCol w:w="1040"/>
        <w:gridCol w:w="7535"/>
        <w:gridCol w:w="275"/>
      </w:tblGrid>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3.07</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Mandatory Redemption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3.08</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Mandatory Redemption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w:t>
            </w:r>
          </w:p>
        </w:tc>
      </w:tr>
      <w:tr>
        <w:trPr/>
        <w:tc>
          <w:tcPr>
            <w:tcW w:w="857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IV COVENANTS</w:t>
            </w:r>
          </w:p>
        </w:tc>
        <w:tc>
          <w:tcPr>
            <w:tcW w:w="275" w:type="dxa"/>
            <w:tcBorders/>
            <w:vAlign w:val="center"/>
          </w:tcPr>
          <w:p>
            <w:pPr>
              <w:pStyle w:val="TableContents"/>
              <w:bidi w:val="0"/>
              <w:spacing w:before="0" w:after="283"/>
              <w:jc w:val="right"/>
              <w:rPr>
                <w:b/>
              </w:rPr>
            </w:pPr>
            <w:r>
              <w:rPr>
                <w:b/>
              </w:rPr>
              <w:t>46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4.01</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 of Notes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4.02</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Maintenance of Office or Agency</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4.03</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Corporate Existence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4.04</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Further Instruments and Acts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4.05</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 Certificate; Notice of Default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4.06</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Waiver of Stay, Extension or Usury Laws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4.07</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Control Triggering Event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4.08</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Indebtedness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4.09</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Restricted Payments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54</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4.10</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Liens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4.11</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Asset Sales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4.12</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Transactions with Affiliates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62</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4.13</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Dividend and Other Payment Restrictions Affecting Restricted Subsidiaries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63</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4.14</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Future Guarantees by Restricted Subsidiaries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4.15</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Reports to Holders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4.16</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Suspension of Covenants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68</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4.17</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Activities of Finco</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4.18</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Calculations for Limited Condition Transactions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w:t>
            </w:r>
          </w:p>
        </w:tc>
      </w:tr>
      <w:tr>
        <w:trPr/>
        <w:tc>
          <w:tcPr>
            <w:tcW w:w="857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 SUCCESSOR CORPORATION</w:t>
            </w:r>
          </w:p>
        </w:tc>
        <w:tc>
          <w:tcPr>
            <w:tcW w:w="275" w:type="dxa"/>
            <w:tcBorders/>
            <w:vAlign w:val="center"/>
          </w:tcPr>
          <w:p>
            <w:pPr>
              <w:pStyle w:val="TableContents"/>
              <w:bidi w:val="0"/>
              <w:spacing w:before="0" w:after="283"/>
              <w:jc w:val="right"/>
              <w:rPr>
                <w:b/>
              </w:rPr>
            </w:pPr>
            <w:r>
              <w:rPr>
                <w:b/>
              </w:rPr>
              <w:t>70</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5.01</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Consolidation, Merger and Sale of Assets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w:t>
            </w:r>
          </w:p>
        </w:tc>
      </w:tr>
      <w:tr>
        <w:trPr/>
        <w:tc>
          <w:tcPr>
            <w:tcW w:w="857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 DEFAULT AND REMEDIES</w:t>
            </w:r>
          </w:p>
        </w:tc>
        <w:tc>
          <w:tcPr>
            <w:tcW w:w="275" w:type="dxa"/>
            <w:tcBorders/>
            <w:vAlign w:val="center"/>
          </w:tcPr>
          <w:p>
            <w:pPr>
              <w:pStyle w:val="TableContents"/>
              <w:bidi w:val="0"/>
              <w:spacing w:before="0" w:after="283"/>
              <w:jc w:val="right"/>
              <w:rPr>
                <w:b/>
              </w:rPr>
            </w:pPr>
            <w:r>
              <w:rPr>
                <w:b/>
              </w:rPr>
              <w:t>72</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6.01</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Events of Default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72</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6.02</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Acceleration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6.03</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Remedies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6.04</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Waiver of Past Defaults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6.05</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Control by Majority</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76</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6.06</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Suits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6.07</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Rights of Holders To Receive Payment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77</w:t>
            </w:r>
          </w:p>
        </w:tc>
      </w:tr>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6.08</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Collection Suit by Trustee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180" w:type="dxa"/>
        <w:jc w:val="left"/>
        <w:tblInd w:w="0" w:type="dxa"/>
        <w:tblLayout w:type="fixed"/>
        <w:tblCellMar>
          <w:top w:w="0" w:type="dxa"/>
          <w:left w:w="0" w:type="dxa"/>
          <w:bottom w:w="0" w:type="dxa"/>
          <w:right w:w="0" w:type="dxa"/>
        </w:tblCellMar>
      </w:tblPr>
      <w:tblGrid>
        <w:gridCol w:w="1145"/>
        <w:gridCol w:w="4760"/>
        <w:gridCol w:w="275"/>
      </w:tblGrid>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6.09</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 May File Proofs of Claim</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6.10</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Priorities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6.11</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Undertaking for Costs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6.12</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Restoration of Rights and Remedies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w:t>
            </w:r>
          </w:p>
        </w:tc>
      </w:tr>
      <w:tr>
        <w:trPr/>
        <w:tc>
          <w:tcPr>
            <w:tcW w:w="590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 TRUSTEE</w:t>
            </w:r>
          </w:p>
        </w:tc>
        <w:tc>
          <w:tcPr>
            <w:tcW w:w="275" w:type="dxa"/>
            <w:tcBorders/>
            <w:vAlign w:val="center"/>
          </w:tcPr>
          <w:p>
            <w:pPr>
              <w:pStyle w:val="TableContents"/>
              <w:bidi w:val="0"/>
              <w:spacing w:before="0" w:after="283"/>
              <w:jc w:val="right"/>
              <w:rPr>
                <w:b/>
              </w:rPr>
            </w:pPr>
            <w:r>
              <w:rPr>
                <w:b/>
              </w:rPr>
              <w:t>79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7.01</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Duties of Trustee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7.02</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Rights of Trustee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80</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7.03</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Individual Rights of Trustee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82</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7.04</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Trustee’s Disclaimer</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82</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7.05</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of Default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82</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7.06</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[Reserved]</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82</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7.07</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Compensation and Indemnity</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82</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7.08</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Replacement of Trustee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7.09</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Successor Trustee by Merger, Etc</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84</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7.10</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Eligibility, Disqualification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84</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7.11</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Preferential Collection of Claims Against the Issuers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85</w:t>
            </w:r>
          </w:p>
        </w:tc>
      </w:tr>
      <w:tr>
        <w:trPr/>
        <w:tc>
          <w:tcPr>
            <w:tcW w:w="590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VIII DISCHARGE OF INDENTURE, DEFEASANCE</w:t>
            </w:r>
          </w:p>
        </w:tc>
        <w:tc>
          <w:tcPr>
            <w:tcW w:w="275" w:type="dxa"/>
            <w:tcBorders/>
            <w:vAlign w:val="center"/>
          </w:tcPr>
          <w:p>
            <w:pPr>
              <w:pStyle w:val="TableContents"/>
              <w:bidi w:val="0"/>
              <w:spacing w:before="0" w:after="283"/>
              <w:jc w:val="right"/>
              <w:rPr>
                <w:b/>
              </w:rPr>
            </w:pPr>
            <w:r>
              <w:rPr>
                <w:b/>
              </w:rPr>
              <w:t>85</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8.01</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Termination of the Issuers’ Obligations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85</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8.02</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Defeasance and Covenant Defeasance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86</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8.03</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Conditions to Legal Defeasance or Covenant Defeasance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87</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8.04</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Application of Trust Money</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8.05</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Repayment to the Issuers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8.06</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Reinstatement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89</w:t>
            </w:r>
          </w:p>
        </w:tc>
      </w:tr>
      <w:tr>
        <w:trPr/>
        <w:tc>
          <w:tcPr>
            <w:tcW w:w="590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IX AMENDMENTS, SUPPLEMENTS AND WAIVERS</w:t>
            </w:r>
          </w:p>
        </w:tc>
        <w:tc>
          <w:tcPr>
            <w:tcW w:w="275" w:type="dxa"/>
            <w:tcBorders/>
            <w:vAlign w:val="center"/>
          </w:tcPr>
          <w:p>
            <w:pPr>
              <w:pStyle w:val="TableContents"/>
              <w:bidi w:val="0"/>
              <w:spacing w:before="0" w:after="283"/>
              <w:jc w:val="right"/>
              <w:rPr>
                <w:b/>
              </w:rPr>
            </w:pPr>
            <w:r>
              <w:rPr>
                <w:b/>
              </w:rPr>
              <w:t>89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9.01</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Without Consent of Holders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9.02</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With Consent of Holders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90</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9.03</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 with the Trust Indenture Act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91</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9.04</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Revocation and Effect of Consents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91</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9.05</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Notation on or Exchange of Notes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92</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9.06</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 To Sign Amendments, Etc</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92</w:t>
            </w:r>
          </w:p>
        </w:tc>
      </w:tr>
      <w:tr>
        <w:trPr/>
        <w:tc>
          <w:tcPr>
            <w:tcW w:w="590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 GUARANTY</w:t>
            </w:r>
          </w:p>
        </w:tc>
        <w:tc>
          <w:tcPr>
            <w:tcW w:w="275" w:type="dxa"/>
            <w:tcBorders/>
            <w:vAlign w:val="center"/>
          </w:tcPr>
          <w:p>
            <w:pPr>
              <w:pStyle w:val="TableContents"/>
              <w:bidi w:val="0"/>
              <w:spacing w:before="0" w:after="283"/>
              <w:jc w:val="right"/>
              <w:rPr>
                <w:b/>
              </w:rPr>
            </w:pPr>
            <w:r>
              <w:rPr>
                <w:b/>
              </w:rPr>
              <w:t>93</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10.01</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Guaranty</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93</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10.02</w:t>
            </w:r>
          </w:p>
        </w:tc>
        <w:tc>
          <w:tcPr>
            <w:tcW w:w="4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Guarantor Liability</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715" w:type="dxa"/>
        <w:jc w:val="left"/>
        <w:tblInd w:w="0" w:type="dxa"/>
        <w:tblLayout w:type="fixed"/>
        <w:tblCellMar>
          <w:top w:w="0" w:type="dxa"/>
          <w:left w:w="0" w:type="dxa"/>
          <w:bottom w:w="0" w:type="dxa"/>
          <w:right w:w="0" w:type="dxa"/>
        </w:tblCellMar>
      </w:tblPr>
      <w:tblGrid>
        <w:gridCol w:w="1145"/>
        <w:gridCol w:w="4295"/>
        <w:gridCol w:w="275"/>
      </w:tblGrid>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10.03</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Execution and Delivery of Guaranty</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94</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10.04</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Release of a Guarantor</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95</w:t>
            </w:r>
          </w:p>
        </w:tc>
      </w:tr>
      <w:tr>
        <w:trPr/>
        <w:tc>
          <w:tcPr>
            <w:tcW w:w="54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XI MISCELLANEOUS</w:t>
            </w:r>
          </w:p>
        </w:tc>
        <w:tc>
          <w:tcPr>
            <w:tcW w:w="275" w:type="dxa"/>
            <w:tcBorders/>
            <w:vAlign w:val="center"/>
          </w:tcPr>
          <w:p>
            <w:pPr>
              <w:pStyle w:val="TableContents"/>
              <w:bidi w:val="0"/>
              <w:spacing w:before="0" w:after="283"/>
              <w:jc w:val="right"/>
              <w:rPr>
                <w:b/>
              </w:rPr>
            </w:pPr>
            <w:r>
              <w:rPr>
                <w:b/>
              </w:rPr>
              <w:t>95</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11.01</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 Indenture Act Controls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95</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11.02</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96</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11.03</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Communications by Holders with Other Holders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97</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11.04</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Certificate and Opinion as to Conditions Precedent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97</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11.05</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Statements Required in Certificate or Opinion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11.06</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Rules by Paying Agent or Registrar</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11.07</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Holidays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11.08</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Governing Law; Waiver of Jury Trial</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11.09</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Adverse Interpretation of Other Agreements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11.10</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Recourse Against Others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98</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11.11</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Successors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11.12</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Duplicate Originals; Electronic Signatures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11.13</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Severability</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11.14</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Patriot Act</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99</w:t>
            </w:r>
          </w:p>
        </w:tc>
      </w:tr>
      <w:tr>
        <w:trPr/>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11.15</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Force Majeure</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 Form of Note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 Form of Legends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 Form of Certificate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 Form of Guaranty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 Form of Supplemental Indenture in Respect of Subsidiary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Table of Contents shall not, for any purpose, be deemed to be part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August 25, 2026, by and among RHP Hotel Properties, LP, a Delaware limited partnership (“</w:t>
      </w:r>
      <w:r>
        <w:rPr>
          <w:rFonts w:ascii="Times New Roman;Times;Serif" w:hAnsi="Times New Roman;Times;Serif"/>
          <w:b w:val="false"/>
          <w:i w:val="false"/>
          <w:caps w:val="false"/>
          <w:smallCaps w:val="false"/>
          <w:sz w:val="20"/>
          <w:u w:val="single"/>
        </w:rPr>
        <w:t>Opco</w:t>
      </w:r>
      <w:r>
        <w:rPr>
          <w:rFonts w:ascii="Times New Roman;Times;Serif" w:hAnsi="Times New Roman;Times;Serif"/>
          <w:b w:val="false"/>
          <w:i w:val="false"/>
          <w:caps w:val="false"/>
          <w:smallCaps w:val="false"/>
          <w:sz w:val="20"/>
        </w:rPr>
        <w:t>”), RHP Finance Corporation, a Delaware corporation (“</w:t>
      </w:r>
      <w:r>
        <w:rPr>
          <w:rFonts w:ascii="Times New Roman;Times;Serif" w:hAnsi="Times New Roman;Times;Serif"/>
          <w:b w:val="false"/>
          <w:i w:val="false"/>
          <w:caps w:val="false"/>
          <w:smallCaps w:val="false"/>
          <w:sz w:val="20"/>
          <w:u w:val="single"/>
        </w:rPr>
        <w:t>Finco</w:t>
      </w:r>
      <w:r>
        <w:rPr>
          <w:rFonts w:ascii="Times New Roman;Times;Serif" w:hAnsi="Times New Roman;Times;Serif"/>
          <w:b w:val="false"/>
          <w:i w:val="false"/>
          <w:caps w:val="false"/>
          <w:smallCaps w:val="false"/>
          <w:sz w:val="20"/>
        </w:rPr>
        <w:t>” and, together with Opco,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Ryman Hospitality Properties,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as a Guarantor, each of the other Guarantors named herein, as Guarantors, and U.S. Bank Trust Company, National Association, a national banking association organized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have duly authorized the creation of an issue of 6.250% Senior Notes due 2035 and, to provide therefor, the Issuers, Parent and the other Guarantors have duly authorized the execution and delivery of this Indenture. All things necessary to make the Notes, when duly issued and executed by the Issuers and authenticated and delivered hereunder, the valid and binding obligations of the Issuers and to make this Indenture a valid and binding agreement of the Issuers and the Guarantors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Notes by the Holders thereof, the parties hereto covenant and agree, for the equal and proportionate benefit of all Holders,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Set forth below are certain defined terms used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Indebtedness</w:t>
      </w:r>
      <w:r>
        <w:rPr>
          <w:rFonts w:ascii="Times New Roman;Times;Serif" w:hAnsi="Times New Roman;Times;Serif"/>
          <w:b w:val="false"/>
          <w:i w:val="false"/>
          <w:caps w:val="false"/>
          <w:smallCaps w:val="false"/>
          <w:sz w:val="20"/>
        </w:rPr>
        <w:t xml:space="preserve">” means Indebtedness of a Person existing at the time such Person becomes a Restricted Subsidiary or that is assumed in connection with an Asset Acquisition from such Person by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Indebtedness of such Person that is redeemed, defeased, retired or otherwise repaid at the time of or immediately upon consummation of the transactions by which such Person becomes a Restricted Subsidiary or such Asset Acquisition shall not be Acquired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Total Assets</w:t>
      </w:r>
      <w:r>
        <w:rPr>
          <w:rFonts w:ascii="Times New Roman;Times;Serif" w:hAnsi="Times New Roman;Times;Serif"/>
          <w:b w:val="false"/>
          <w:i w:val="false"/>
          <w:caps w:val="false"/>
          <w:smallCaps w:val="false"/>
          <w:sz w:val="20"/>
        </w:rPr>
        <w:t>” means, for any Person,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Total Assets for such Person as of the end of the fiscal quarter preceding the Transaction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any increase in Total Assets following the end of such quarter determined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including any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increase in Total Assets resulting from the application of the proceeds of any additional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w:t>
      </w:r>
      <w:r>
        <w:rPr>
          <w:rFonts w:ascii="Times New Roman;Times;Serif" w:hAnsi="Times New Roman;Times;Serif"/>
          <w:b w:val="false"/>
          <w:i w:val="false"/>
          <w:caps w:val="false"/>
          <w:smallCaps w:val="false"/>
          <w:sz w:val="20"/>
        </w:rPr>
        <w:t>” means with respect to any Note on any redemption date, the greater of (1) 1.00% of the principal amount of such Note and (2) the excess of (a) the present value at such redemption date of (i) the Redemption Price of the Note at August 15, 2029 (such Redemption Price being set forth in the table appearing in Section 5 of the Notes) plus (ii) all required interest payments due on the Note through August 15, 2029 (excluding interest paid prior to the redemption date and accrued but unpaid interest, if any, to, but excluding, the redemption date), computed using a discount rate equal to the Treasury Rate as of such redemption date plus 50 basis points, over (b) the principal amount of the Note on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Acquisition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 Investment by Parent or any of the Restricted Subsidiaries in any other Person pursuant to which such Person shall become a Restricted Subsidiary or shall be merged, amalgamated or consolidated with and into Parent or any of the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Person’s primary business is related, ancillary, incidental or complementary to the businesses of Parent or any of the Restricted Subsidiaries on the date of such investment;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 acquisition by Parent or any of the Restricted Subsidiaries from any other Person of assets or one or more properties of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assets and properties acquired are related, ancillary, incidental or complementary to the businesses of Parent or any of the Restricted Subsidiaries on the date of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Disposition</w:t>
      </w:r>
      <w:r>
        <w:rPr>
          <w:rFonts w:ascii="Times New Roman;Times;Serif" w:hAnsi="Times New Roman;Times;Serif"/>
          <w:b w:val="false"/>
          <w:i w:val="false"/>
          <w:caps w:val="false"/>
          <w:smallCaps w:val="false"/>
          <w:sz w:val="20"/>
        </w:rPr>
        <w:t>” means the sale or other disposition by Parent or any of the Restricted Subsidiaries, other than to Parent or a Restricted Subsidiary,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or substantially all of the Capital Stock of such Restricted Subsidiary, whether in a single transaction or a series of transactions;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or substantially all of the assets that constitute a division or line of business, or one or more properties, of Parent or any of the Restricted Subsidiaries, whether in a single transaction or a series of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means any sale, transfer or other disposition, including by way of merger, consolidation or Sale and Leaseback Transaction, in one transaction or a series of related transactions by Parent or any of the Restricted Subsidiaries to any Person other than Parent or any of the Restricted Subsidiaries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or any of the Capital Stock of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or substantially all of the assets that constitute a division or line of business of Parent or any of the Restricted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property and assets of Parent or any of the Restricted Subsidiaries outside the ordinary course of business of Parent or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(in each of (1), (2) and (3)), is not governed by the provisions of Section 5.01;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“Asset Sale” shall not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lease or sublease of any Real Estate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sales, leases, assignments, licenses, sublicenses, subleases or other dispositions of inventory, receivables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sale, conveyance, transfer, lease, disposition or other transfer of all or substantially all of the assets of the Issuers as permitted under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license or sublicense of intellectual property or other general intangibles;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issuance of Capital Stock by a Restricted Subsidiary in which the percentage interest (direct and indirect) in the Capital Stock of such Restricted Subsidiary owned directly or indirectly by the Issuers after giving effect to such issuance, is at least equal to the percentage interest prior to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surrender or waiver of contract rights or settlement, release or surrender of a contract, tort or other litigation claim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Restricted Payment permitted by Section 4.09 or that constitutes a Permitted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sales, transfers or other dispositions of assets or the issuance of Capital Stock of a Restricted Subsidiary with a fair market value not in excess of $55,000,000 in any transaction or series of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sales or other dispositions of assets (including Capital Stock of a Restricted Subsidiary) for consideration at least equal to the fair market value of the assets sold or disposed of, to the extent that the consideration received would satisfy Section 4.11(c)(ii);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sales or other dispositions of cash or Temporary Cash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creation, granting, perfection or realization of any Lien permitted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lease, assignment or sublease of property in the ordinary course of business so long as the same does not materially interfere with the business of Parent and the Restricted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sales, exchanges, transfers or other dispositions of damaged, worn-out or obsolete or otherwise unsuitable or unnecessary equipment or assets that, in Parent’s reasonable judgment, are no longer used or useful in the business of Parent or the Restricted Subsidiaries and any sale or disposition of property in connection with scheduled turnarounds, maintenance and equipment and facility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voluntary unwinding of any hedging agreements or other derivative instruments (including any Interest Rate Agreements) other than those entered into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dispositions of receivables in connection with the compromise, settlement or collection thereof in the ordinary course of business or in the bankruptcy or similar proceedings and exclusive factoring or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dispositions of Opry Assets in one or a series of transaction for consideration in an amount not less than the fair market value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dispositions of property or assets in connection with the granting of state or local tax or economic development incentives,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use of such property or assets by Parent or any of its Restricted Subsidiaries is not materially limited or restricted thereby, and (b) such dispositions are either (i) for nominal consideration pursuant to arrangements that also provide for the return of such property or assets to Parent or one of its Restricted Subsidiaries for nominal consideration at the conclusion of the related agreements, or (ii) for consideration that is no less favorable to Parent or its Restricted Subsidiaries than would be achieved in an arms’ length transaction with a Person that is not an Affiliate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issuance or sale of Capital Stock, Indebtedness or other securities of an Unrestricted Subsidiary (or a Restricted Subsidiary which owns an Unrestricted Subsidiary so long as such Restricted Subsidiary owns no material assets other than the Capital Stock of such Unrestricted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dispositions of receivables in connection with the compromise, settlement or collection thereof in the ordinary course of business or in the bankruptcy or similar proceedings and exclusive factoring or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 xml:space="preserve">” in respect of a Sale and Leaseback Transaction means, at the time of determination, the present value of the total obligations of the lessee for net rental payments during the remaining term of the lease included in such Sale and Leaseback Transaction. For purposes hereof such present value shall be calculated using a discount rate equal to the rate of interest implicit in such Sale and Leaseback Transaction, determined by lessee in good faith on a basis consistent with comparable determinations of Capitalized Lease Obligations under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Sale and Leaseback Transaction results in a Capitalized Lease Obligation, the amount of Indebtedness represented thereby will be determined in accordance with the definition of “Capitalized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Life</w:t>
      </w:r>
      <w:r>
        <w:rPr>
          <w:rFonts w:ascii="Times New Roman;Times;Serif" w:hAnsi="Times New Roman;Times;Serif"/>
          <w:b w:val="false"/>
          <w:i w:val="false"/>
          <w:caps w:val="false"/>
          <w:smallCaps w:val="false"/>
          <w:sz w:val="20"/>
        </w:rPr>
        <w:t>” means at any date of determination with respect to any debt security, the quotient obtained by dividing: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sum of the products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number of years from such date of determination to the dates of each successive scheduled principal payment of such debt security,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amount of such principal payment;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all such principal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of the United States Code, as amended, or any insolvency or other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as to any Person, the board of directors (or similar governing body) of such Person or any duly authorized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Sunday or any other day on which banking institutions in New York City or the location of the Corporate Trust Office of the Trustee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Markets Indebtedness</w:t>
      </w:r>
      <w:r>
        <w:rPr>
          <w:rFonts w:ascii="Times New Roman;Times;Serif" w:hAnsi="Times New Roman;Times;Serif"/>
          <w:b w:val="false"/>
          <w:i w:val="false"/>
          <w:caps w:val="false"/>
          <w:smallCaps w:val="false"/>
          <w:sz w:val="20"/>
        </w:rPr>
        <w:t xml:space="preserve">” means Indebtedness consisting of bonds, debentures, notes or other similar debt securities issued in (a) a public offering registered under the Securities Act, (b) a private placement to institutional investors that is resold in accordance with Rule 144A or Regulation S under the Securities Act, whether or not it includes registration rights entitling the holders of such debt securities to registration thereof with the SEC or (c) a private placement of securities to institutional investors;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the term “Capital Markets Indebtedness” does not include any Indebtedness under commercial bank facilities, Indebtedness Incurred in connection with a Sale and Leaseback Transaction, Indebtedness Incurred in the ordinary course of business of the issuer, Capitalized Lease Obligations, recourse transfer of any financial asset, obligations secured by a single property or any other type of Indebtedness Incurred in a manner not customarily viewed as a “securities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xml:space="preserve">” means, with respect to any Person, any and all shares, interests, participations or other equivalents (however designated, whether voting or non-voting), including partnership or limited liability company interests, whether general or limited, in the equity of such Person, whether outstanding on the Issue Date or issued thereafter, including all Common Stock and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for the avoidance of doubt, that any debt security convertible into or exchangeable for such shares, interests or participations, shall not be treated as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w:t>
      </w:r>
      <w:r>
        <w:rPr>
          <w:rFonts w:ascii="Times New Roman;Times;Serif" w:hAnsi="Times New Roman;Times;Serif"/>
          <w:b w:val="false"/>
          <w:i w:val="false"/>
          <w:caps w:val="false"/>
          <w:smallCaps w:val="false"/>
          <w:sz w:val="20"/>
        </w:rPr>
        <w:t>” means, as applied to any Person, any lease of any property, whether real, personal or mixed, of which the discounted present value of the rental obligations of such Person as lessee, in conformity with GAAP, is required to be capitalized on the balance sheet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 Obligations</w:t>
      </w:r>
      <w:r>
        <w:rPr>
          <w:rFonts w:ascii="Times New Roman;Times;Serif" w:hAnsi="Times New Roman;Times;Serif"/>
          <w:b w:val="false"/>
          <w:i w:val="false"/>
          <w:caps w:val="false"/>
          <w:smallCaps w:val="false"/>
          <w:sz w:val="20"/>
        </w:rPr>
        <w:t>” means, at the time any determination is to be made, the amount of the liability in respect of a Capitalized Lease that would at that time be required to be capitalized on a balance sheet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sale, exchange or other transfer (in one transaction or a series of related transactions) of all or substantially all of the assets of Parent and its Subsidiaries taken as a whole to any “person” or “group” (as such terms are defined in Sections 13(d) and l4(d)(2) of the Exchange Act), together with any Affiliates thereof (whether or not otherwise in compliance with the provisions of this Indenture) other than (a) Parent or a Subsidiary of Parent or (b) in any such transaction where the Voting Stock of Parent outstanding immediately prior to such transaction constitutes or is converted or exchanged for a majority of shares of the Voting Stock of such surviving or transferee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avoidance of doubt, the lease of all or substantially all of the assets of Parent and its Subsidiaries taken as a whole shall not constitute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“person” or “group” (as such terms are defined in Sections 13(d) and l4(d)(2) of the Exchange Act), other than Parent or any Subsidiary of Parent, becomes the ultimate “beneficial owner” (as defined in Rule 13d-3 under the Exchange Act) of more than 50% of the total voting power of the Voting Stock of Opco or any of its direct or indirect parent companies on a fully diluted basis;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approval by the holders of Capital Stock of an Issuer of any plan or proposal for the liquidation or dissolution of Parent or an Issuer (whether or not otherwise in compliance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Triggering Event</w:t>
      </w:r>
      <w:r>
        <w:rPr>
          <w:rFonts w:ascii="Times New Roman;Times;Serif" w:hAnsi="Times New Roman;Times;Serif"/>
          <w:b w:val="false"/>
          <w:i w:val="false"/>
          <w:caps w:val="false"/>
          <w:smallCaps w:val="false"/>
          <w:sz w:val="20"/>
        </w:rPr>
        <w:t>” means the occurrence of both a Change of Control and a Rating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with respect to any Person, any and all shares, interests, participations or other equivalents (however designated, whether voting or non-voting) that have no preference on liquidation or with respect to distributions over any other class of Capital Stock, including partnership interests, whether general or limited, of such Person’s equity, whether outstanding on the Issue Date or issued thereafter, including all series and classes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Units</w:t>
      </w:r>
      <w:r>
        <w:rPr>
          <w:rFonts w:ascii="Times New Roman;Times;Serif" w:hAnsi="Times New Roman;Times;Serif"/>
          <w:b w:val="false"/>
          <w:i w:val="false"/>
          <w:caps w:val="false"/>
          <w:smallCaps w:val="false"/>
          <w:sz w:val="20"/>
        </w:rPr>
        <w:t>” means any common units of Opco.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means, for any period, the aggregate net income (or loss) attributable to Parent and the Restricted Subsidiaries for such period determined on a consolidated basis in conformity with GAAP, increased by, to the extent such amount was deducted in calculating such net income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net income from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loss from unconsolidated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expense, net (other than interest income on the bonds referenced in the definition of Opry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preopening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non-cash ground lease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equity-based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impairment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closing costs of completed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(gain) or loss, together with any related provision for taxes on such (gain) or loss, realized in connection with: (a) any disposition of assets by Parent or any Restricted Subsidiary outside the ordinary course of business; or (b) the disposition of any securities by Parent or any Restricted Subsidiary or the extinguishment of any Indebtedness of Parent or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pension settlement charges;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all other non-cash expenses (including, but not limited to, the non-cash portion of (a) non-cash write-offs of goodwill, intangibles and long-lived assets, (b) ground rents expense, but excluding any other such non-cash expense to the extent that it represents an accrual of or reserve for cash expenses in any future period or amortization of a prepaid cash expense that was paid in a prior period, and (c) non-cash equity-based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for any period, the aggregate amount of interest expense, less the aggregate amount of interest income for such period, in respect of Indebtedness of Parent and the Restricted Subsidiaries during such period, all as determined on a consolidated basis in conformity with GAAP including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interest portion of any deferred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commissions, discounts and other fees and expenses owed with respect to letters of credit and bankers’ acceptance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net cash costs associated with Interest Rate Agreements and Indebtedness that is Guaranteed or secured by assets of Parent or any Restricted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but the principal component of rentals in respect of Capitalized Lease Obligations paid, accrued or scheduled to be paid or to be accrued by Parent and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to the extent included in interest expense above, (i) accretion of accrual of discounted liabilities not constituting Indebtedness, (ii) any expense resulting from the discounting of any Indebtedness in connection with the application of purchase accounting in connection with any acquisition, (iii) amortization of debt discount, amortization of deferred financing charges, debt issuance costs, commissions, fees and expenses, (iv) any expensing of bridge, commitment or other financing fees and (v) non-cash costs associated with Interest Rate Agreements or attributable to mark-to-market valuation of derivative instruments pursuant to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Construction Indebtedness</w:t>
      </w:r>
      <w:r>
        <w:rPr>
          <w:rFonts w:ascii="Times New Roman;Times;Serif" w:hAnsi="Times New Roman;Times;Serif"/>
          <w:b w:val="false"/>
          <w:i w:val="false"/>
          <w:caps w:val="false"/>
          <w:smallCaps w:val="false"/>
          <w:sz w:val="20"/>
        </w:rPr>
        <w:t>” means, with respect to any Person, any Indebtedness Incurred to finance the cost of design, development, construction and opening of new or redeveloped assets that will be used or useful in a Permitted Business, including the cost of acquisition of related property, plant or equipment, to be owned by such Person or any of its Restricted Subsidiaries and which is designated by such Person as “Construction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for administration of this Indenture means the corporate trust office of the Trustee, 111 Fillmore Ave E, Saint-Paul, MN 55107, Attention: Corporate Trust Services, Ryman Administrator, or such other office, designated by the Trustee by written notice to the Issuers, at which at any particular time its corporate trust business shall be administered.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means the Credit Agreement, dated as of May 18, 2023, as modified pursuant to (i) that certain Letter Agreement, dated as of July 28, 2023, (ii) that certain Incremental Tranche B Term Loan Agreement, dated as of April 12, 2024, (iii) that certain Second Incremental Tranche B Term Loan Agreement, dated as of December 19, 2024, and (iv) that certain Amendment No. 1 to Credit Agreement, dated as of January 28, 2026, by and among Opco and the Restricted Subsidiaries now or hereafter party thereto as borrowers or guarantors, Parent, as guarantor, the lenders party thereto in their capacities as lenders thereunder and Wells Fargo Bank, National Association, as administrative agent, together with the related documents thereto (including any guarantee agreements and security documents), including the Revolving Credit Facility and the Term Loan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Facility</w:t>
      </w:r>
      <w:r>
        <w:rPr>
          <w:rFonts w:ascii="Times New Roman;Times;Serif" w:hAnsi="Times New Roman;Times;Serif"/>
          <w:b w:val="false"/>
          <w:i w:val="false"/>
          <w:caps w:val="false"/>
          <w:smallCaps w:val="false"/>
          <w:sz w:val="20"/>
        </w:rPr>
        <w:t xml:space="preserve">” means one or more credit or debt facilities (including any credit or debt facilities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under the Credit Agreement), financings, commercial paper facilities, note purchase agreements or other debt instruments, indentures or agreements, providing for revolving credit loans, term loans, swing line loans, notes, securities, letters of credit, swaps, treasury management agreements or other debt obligations, in each case, as amended, restated, modified, renewed, refunded, restructured, supplemented, replaced or refinanced in whole or in part from time to time,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lenders or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Derivative Instrument</w:t>
      </w:r>
      <w:r>
        <w:rPr>
          <w:rFonts w:ascii="Times New Roman;Times;Serif" w:hAnsi="Times New Roman;Times;Serif"/>
          <w:b w:val="false"/>
          <w:i w:val="false"/>
          <w:caps w:val="false"/>
          <w:smallCaps w:val="false"/>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either Issuer and/or any one or more of the Guarantors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Depository</w:t>
      </w:r>
      <w:r>
        <w:rPr>
          <w:rFonts w:ascii="Times New Roman;Times;Serif" w:hAnsi="Times New Roman;Times;Serif"/>
          <w:b w:val="false"/>
          <w:i w:val="false"/>
          <w:caps w:val="false"/>
          <w:smallCaps w:val="false"/>
          <w:sz w:val="20"/>
        </w:rPr>
        <w:t>” means The Depository Trust Company, New York, New York, or a successor thereto registered under the Exchange Act or other applicable statute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means the fair market value of non-cash consideration received by an Issuer or any of its Restricted Subsidiaries in connection with an Asset Sale (other than Replacement Assets and Indebtedness described in the proviso in Section 4.11(a)(ii) of this Indenture) that is so designated as Designated Non-Cash Consideration pursuant to an Officer’s Certificate, setting forth the basis of such valuation, executed by the principal financial officer of Parent, less the amount of cash or Temporary Cash Investments received in connection with a subsequent sale of or collection on such Designated Non-Cash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means any class or series of Capital Stock of any Person that by its terms or otherwise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required to be redeemed on or prior to the date that is 91 days after the Stated Maturity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redeemable at the option of the holder of such class or series of Capital Stock, at any time on or prior to the date that is 91 days after the Stated Maturity of the Notes (other than into shares of Capital Stock that is not Disqualified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convertible into or exchangeable for Capital Stock referred to in clause (1) or (2) above or Indebtedness having a scheduled maturity on or prior to the date that is 91 days after the Stated Maturity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Capital Stock that would not constitute Disqualified Stock but for provisions thereof giving holders thereof the right to require such Person to repurchase or redeem such Capital Stock upon the occurrence of an “asset sale” or “change of control” occurring prior to the Stated Maturity of the Notes shall not constitute Disqualified Stock if the “asset sale” or “change of control” provisions applicable to such Capital Stock are no more favorable to the holders of such Capital Stock than the provisions contained in Sections 4.07 and 4.11 and such Capital Stock specifically provides that such Person shall not repurchase or redeem any such stock pursuant to such provisions unless such repurchase or redemption complies with Section 4.09. Disqualified Stock shall not include (i) Capital Stock that is issued to any plan for the benefit of employees of Parent or its Subsidiaries or by any such plan to such employees solely because it may be required to be repurchased by Parent or its Subsidiaries in order to satisfy applicable statutory or regulatory obligations and (ii) Capital Stock issued to any future, present or former employee, director, officer or consultant of Parent, an Issuer (or any of their respective direct or indirect parents or Subsidiaries) that is redeemable or subject to repurchase pursuant to any management equity subscription agreement, stock option agreement, stock ownership plan, put agreement, stockholder agreement or similar agreement that may be in effect from time to time. Disqualified Stock shall not include Common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Offering</w:t>
      </w:r>
      <w:r>
        <w:rPr>
          <w:rFonts w:ascii="Times New Roman;Times;Serif" w:hAnsi="Times New Roman;Times;Serif"/>
          <w:b w:val="false"/>
          <w:i w:val="false"/>
          <w:caps w:val="false"/>
          <w:smallCaps w:val="false"/>
          <w:sz w:val="20"/>
        </w:rPr>
        <w:t>” means a public or private offering of Capital Stock (other than Disqualified Stock) of Opco or Parent (other than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or any successor statute or statutes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the price that would be paid in an arm’s-length transaction between an informed and willing seller under no compulsion to sell and an informed and willing buyer under no compulsion to buy. For purposes of determining compliance with Article IV of this Indenture, any determination that the fair market value of assets other than cash or Temporary Cash Investments is equal to or greater than $15,000,000 will be as determined in good faith by the Board of Directors of Parent, whose determination shall be conclusive if evidenced by a Board Resolution, and otherwise by the principal financial officer of Parent acting in good faith, each of whose determination will be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 Quarter Period</w:t>
      </w:r>
      <w:r>
        <w:rPr>
          <w:rFonts w:ascii="Times New Roman;Times;Serif" w:hAnsi="Times New Roman;Times;Serif"/>
          <w:b w:val="false"/>
          <w:i w:val="false"/>
          <w:caps w:val="false"/>
          <w:smallCaps w:val="false"/>
          <w:sz w:val="20"/>
        </w:rPr>
        <w:t>” means, for purposes of calculating the Interest Coverage Ratio with respect to any Transaction Date, the then most recent four fiscal quarters prior to such Transaction Date for which reports have been filed with the SEC or provided to the Trustee pursuant to Section 4.15.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Funds From Operations</w:t>
      </w:r>
      <w:r>
        <w:rPr>
          <w:rFonts w:ascii="Times New Roman;Times;Serif" w:hAnsi="Times New Roman;Times;Serif"/>
          <w:b w:val="false"/>
          <w:i w:val="false"/>
          <w:caps w:val="false"/>
          <w:smallCaps w:val="false"/>
          <w:sz w:val="20"/>
        </w:rPr>
        <w:t>” for any period means the consolidated net income attributable to Parent and the Restricted Subsidiaries for such period determined in conformity with GAAP, excluding REIT conversion costs and plus depreciation and amortization (excluding amortization of deferred financing costs and debt discounts) and impairment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as in effect as of the Issue Date (without giving effect to SFAS No. 159 “The Fair Value Option for Financial Assets and Financial Liabilities”),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Except as otherwise specifically provided in this Indenture, all ratios and computations contained or referred to in this Indenture shall be computed in conformity with GAAP applied on a consistent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occurs subsequent to the Issue Date a change in generally accepted accounting principles and such change would cause a change in the method of calculation of any term or measure used in any covenant in this Indenture (an “</w:t>
      </w:r>
      <w:r>
        <w:rPr>
          <w:rFonts w:ascii="Times New Roman;Times;Serif" w:hAnsi="Times New Roman;Times;Serif"/>
          <w:b w:val="false"/>
          <w:i w:val="false"/>
          <w:caps w:val="false"/>
          <w:smallCaps w:val="false"/>
          <w:sz w:val="20"/>
          <w:u w:val="single"/>
        </w:rPr>
        <w:t>Accounting Change</w:t>
      </w:r>
      <w:r>
        <w:rPr>
          <w:rFonts w:ascii="Times New Roman;Times;Serif" w:hAnsi="Times New Roman;Times;Serif"/>
          <w:b w:val="false"/>
          <w:i w:val="false"/>
          <w:caps w:val="false"/>
          <w:smallCaps w:val="false"/>
          <w:sz w:val="20"/>
        </w:rPr>
        <w:t>”) then the Issuers may elect, as evidenced by a written notice of the Issuers to the Trustee, that such term or measure shall be calculated as if such Accounting Change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Grande Lakes Acquisition</w:t>
      </w:r>
      <w:r>
        <w:rPr>
          <w:rFonts w:ascii="Times New Roman;Times;Serif" w:hAnsi="Times New Roman;Times;Serif"/>
          <w:b w:val="false"/>
          <w:i w:val="false"/>
          <w:caps w:val="false"/>
          <w:smallCaps w:val="false"/>
          <w:sz w:val="20"/>
        </w:rPr>
        <w:t>” means the acquisition of the JW Marriott Orlando Grande Lakes Resort and the Ritz Carlton Orlando, Grande Lakes located in Orlando, Florida from GLO Hotel Owner LLC for an aggregate purchase price of approximately $1.38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or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Parent and each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means a Guarantee by a Guarantor of the payment of the Notes by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registered holder on the books of the Registrar, from time to time,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w:t>
      </w:r>
      <w:r>
        <w:rPr>
          <w:rFonts w:ascii="Times New Roman;Times;Serif" w:hAnsi="Times New Roman;Times;Serif"/>
          <w:b w:val="false"/>
          <w:i w:val="false"/>
          <w:caps w:val="false"/>
          <w:smallCaps w:val="false"/>
          <w:sz w:val="20"/>
        </w:rPr>
        <w:t xml:space="preserve">” means, with respect to any Indebtedness, to incur, create, issue, assume, Guarantee or otherwise become liable for or with respect to, or become responsible for, the payment of, contingently or otherwise, such Indebtedness, including an “Incurrence” of Acquired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(1) the committed but undrawn portion of any Construction Indebtedness available to any Person will be deemed to be Incurred by such Person at the time of such commitment, will not be deemed to be Incurred upon being subsequently drawn, and will be deemed to be no longer Incurred to the extent such commitment terminates or is withdrawn without being subsequently drawn and (2) neither the accrual of interest, the payment of interest on any Indebtedness in the form of additional Indebtedness with the same terms, nor the accretion of original issue discount shall be considered an Incurrence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at any date of determination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indebtedness of such Person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obligations of such Person evidenced by bonds, debentures, notes or other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face amount of letters of credit or other similar instruments (excluding obligations with respect to letters of credit (including trade letters of credit) securing obligations (other than obligations described in (1) or (2) above or (5), (6) or (7) below) entered into in the ordinary course of business of such Person to the extent such letters of credit are not drawn upon or, if drawn upon, to the extent such drawing is reimbursed no later than the fifth Business Day following receipt by such Person of a demand for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unconditional obligations of such Person to pay the deferred and unpaid purchase price of property or services, which purchase price is due more than six months after the date of placing such property in service or taking delivery and title thereto or the completion of such services, except trade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Capitalized Lease Obligations and Attributable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all Indebtedness of other Persons secured by a Lien on any asset of such Person, whether or not such Indebtedness is assumed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amount of such Indebtedness shall be the lesser of (A) the fair market value of such asset at that date of determination and (B) the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Indebtedness of other Persons Guaranteed by such Person (excluding Permitted Non-Recourse Guarantees) to the extent such Indebtedness is Guaranteed by such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the extent not otherwise included in this definition or the definition of Consolidated Interest Expense, obligations under Interest Rate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of Indebtedness of any Person at any date shall be the outstanding balance at such date of all unconditional obligations of the type described above and, with respect to obligations under any Guarantee, the maximum liability upon the occurrence of the contingency giving rise to the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 outstanding at any time of any Indebtedness issued with original issue discount shall be deemed to be the face amount with respect to such Indebtedness less the remaining unamortized portion of the original issue discount of such Indebtedness at the date of determination in conformity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Indebtedness shall not include any liability for foreign, federal, state, local or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Indebtedness shall not include any obligations in respect of indemnification, adjustment of purchase price or similar obligations, or from Guarantees or letters of credit, surety bonds or performance bonds, in each case securing any such obligations of the Issuers or any of the Restricted Subsidiaries,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in a principal amount not in excess of the gross proceeds including non-cash proceeds (the fair market value of such non-cash proceeds being measured at the time received and without giving effect to any subsequent changes in value) actually received by the Issuers and the Restricted Subsidiaries on a consolidated basis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Indebtedness shall not include contingent obligations under performance bonds, performance guarantees, surety bonds, appeal bonds or similar obligations Incurred in the ordinary course of business and consistent with past practices;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Indebtedness shall not include the committed but undrawn portion of any Construction Indebtedness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this Indenture, as amended or supplemented from time to time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means, unless the context otherwise requires, with respect to the Notes,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Coverage Ratio</w:t>
      </w:r>
      <w:r>
        <w:rPr>
          <w:rFonts w:ascii="Times New Roman;Times;Serif" w:hAnsi="Times New Roman;Times;Serif"/>
          <w:b w:val="false"/>
          <w:i w:val="false"/>
          <w:caps w:val="false"/>
          <w:smallCaps w:val="false"/>
          <w:sz w:val="20"/>
        </w:rPr>
        <w:t>” means, on any Transaction Date, the ratio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aggregate amount of Consolidated EBITDA for the then applicable Four Quarter Period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aggregate Consolidated Interest Expense during such Four 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calculation (and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 forma effect shall be given to any Indebtedness Incurred or repaid during the period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commencing on the first day of the Four Quarter Period and ending on the Transaction Date (other than Indebtedness Incurred or repaid under a revolving credit or similar arrangement), in each case as if such Indebtedness had been Incurred or repaid on the first day of such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Consolidated Interest Expense attributable to interest on any Indebtedness (whether existing or being Incurred) computed on a pro forma basis and bearing a floating interest rate shall be computed as if the rate in effect on the Transaction Date (taking into account any Interest Rate Agreement applicable to such Indebtedness if such Interest Rate Agreement has a remaining term in excess of 12 months or, if shorter, at least equal to the remaining term of such Indebtedness) had been the applicable rate for the entire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 forma effect shall be given to Asset Dispositions, Asset Acquisitions and Permitted Mortgage Investments (including giving pro forma effect to the application of proceeds of any Asset Disposition and any Indebtedness Incurred or repaid in connection with any such Asset Acquisitions or Asset Dispositions (including any Indebtedness Incurred or repaid under a revolving credit or similar arrangement)) that occur during such Reference Period or subsequent to the end of the related Four Quarter Period as if they had occurred and such proceeds had been applied on the first day of such Reference Period and after giving effect to Pro Forma Cost Savings;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pro forma effect shall be given to Asset Dispositions and Asset Acquisitions (including giving pro forma effect to (i) the application of proceeds of any Asset Disposition and any Indebtedness Incurred or repaid in connection with any such Asset Acquisitions or Asset Dispositions, (ii) expense and cost reductions calculated on a basis consistent with Regulation S-X under the Exchange Act and (iii) Pro Forma Cost Savings) that have been made by any Person that is or has become a Restricted Subsidiary or has been merged with or into an Issuer or any of its Restricted Subsidiaries during such Reference Period or subsequent to the end of the related Four Quarter Period and that would have constituted Asset Dispositions or Asset Acquisitions during such Reference Period or subsequent to the end of the related Four Quarter Period had such transactions occurred when such Person was a Restricted Subsidiary as if such asset dispositions or asset acquisitions were Asset Dispositions or Asset Acquisitions and had occurred on the first day of such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Consolidated Interest Expense attributable to discontinued operations, as determined in accordance with GAAP, shall be excluded, but only to the extent that the obligations giving rise to such Consolidated Interest Expense will not be obligations of the specified Person or any of its Restricted Subsidiaries following the Transaction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Consolidated Interest Expense attributable to interest on any Indebtedness (whether existing or being Incurred) computed on a pro forma basis and bearing a floating interest rate shall be computed as if the rate in effect on the Transaction Date (taking into account any interest rate option, swap, cap or similar agreement applicable to such Indebtedness if such agreement has a remaining term in excess of 12 months or, if shorter, at least equal to the remaining term of such Indebtedness) had been the applicable rate for the entire period. Interest on Indebtedness that may optionally be determined at an interest rate based on a factor of a prime or similar rate, a Eurocurrency interbank offered rate, or other rate, shall be deemed to have been based upon the rate actually chosen, or, if not, then based upon such operational rate chosen as the Issuers may designate. Interest on any Indebtedness under a revolving credit facility computed on a pro forma basis shall be computed based on the average daily balance of such Indebtedness during the applicable period except as set forth in clause (1) of this definition. Interest on a Capitalized Lease Obligation shall be deemed to accrue at an interest rate reasonably determined by a responsible financial or accounting officer of the Issuers to be the rate of interest implicit in such Capitalized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clause (3) or (4) of this paragraph requires that pro forma effect be given to an Asset Acquisition, Asset Disposition, Permitted Mortgage Investment, asset acquisition or asset disposition, as the case may be, such pro forma calculation shall be based upon the four full fiscal quarters immediately preceding the Transaction Date of the Person, or division or line of business, or one or more properties, of the Person that is acquired or disposed of to the extent that such financial information is available or otherwise a reasonable estimate thereof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the applicable Interest Payment Date specified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Rate Agreement</w:t>
      </w:r>
      <w:r>
        <w:rPr>
          <w:rFonts w:ascii="Times New Roman;Times;Serif" w:hAnsi="Times New Roman;Times;Serif"/>
          <w:b w:val="false"/>
          <w:i w:val="false"/>
          <w:caps w:val="false"/>
          <w:smallCaps w:val="false"/>
          <w:sz w:val="20"/>
        </w:rPr>
        <w:t>”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with respect to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in any other Person means any direct or indirect advance, loan or other extension of credit (including by way of Guarantee or similar arrangement, but excluding advances to customers and distributors and trade credit made in the ordinary course of business that are, in conformity with GAAP, recorded as accounts receivable on the consolidated balance sheet of Parent and the Restricted Subsidiaries and commission, travel and similar advances to employees, directors, officers, managers and consultants in each case made in the ordinary course of business) or capital contribution to (by means of any transfer of cash or other property (tangible or intangible) to others or any payment for property or services solely for the account or use of others, or otherwise), or any purchase or acquisition of Capital Stock, bonds, notes, debentures or other similar instruments issued by, such Person and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designation of a Restricted Subsidiary as an Unrestricted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fair market value of the Capital Stock (or any other Investment), held by Parent or any of the Restricted Subsidiaries of (or in) any Person that has ceased to be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fair market value of the Investment remaining in any Person shall be deemed not to exceed the aggregate amount of Investments previously made in such Person valued at the time such Investments were made, less the net reduction of such Investments. For purposes of the definition of “Unrestricted Subsidiary” and Section 4.09: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shall include the fair market value of the assets (net of liabilities (other than liabilities to Parent or any of the Restricted Subsidiaries)) of any Restricted Subsidiary at the time such Restricted Subsidiary is designated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fair market value of the assets (net of liabilities (other than liabilities to Parent or any of the Restricted Subsidiaries)) of any Unrestricted Subsidiary at the time that such Unrestricted Subsidiary is designated a Restricted Subsidiary shall be considered a reduction in outstanding Investments;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property transferred to or from an Unrestricted Subsidiary shall be valued at its fair market value at the time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Status</w:t>
      </w:r>
      <w:r>
        <w:rPr>
          <w:rFonts w:ascii="Times New Roman;Times;Serif" w:hAnsi="Times New Roman;Times;Serif"/>
          <w:b w:val="false"/>
          <w:i w:val="false"/>
          <w:caps w:val="false"/>
          <w:smallCaps w:val="false"/>
          <w:sz w:val="20"/>
        </w:rPr>
        <w:t>” means, with respect to the Issuers, when the Notes have ratings from at least two Rating Agencies of (1) “Baa3” or higher from Moody’s, (2) “BBB–” or higher from S&amp;P and (3) “BBB–” or higher from Fitch, in each case published by the applicable agency. The Notes will be deemed to have ceased to be rated as investment grade by a Rating Agency during any period in which such Rating Agency is not providing a rating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means August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means any acquisition or Investment, including by way of merger, amalgamation or consolidation, by an Issuer or any other Restricted Subsidiary whose consummation is not conditioned upon the availability of, or on obtaining, third-party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Long Derivative Instrument</w:t>
      </w:r>
      <w:r>
        <w:rPr>
          <w:rFonts w:ascii="Times New Roman;Times;Serif" w:hAnsi="Times New Roman;Times;Serif"/>
          <w:b w:val="false"/>
          <w:i w:val="false"/>
          <w:caps w:val="false"/>
          <w:smallCaps w:val="false"/>
          <w:sz w:val="20"/>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means, (1) with respect to any Asset Sale, the proceeds of such Asset Sale in the form of cash or Temporary Cash Investments, including payments in respect of deferred payment obligations (to the extent corresponding to the principal, but not interest, component thereof) when received in the form of cash or Temporary Cash Investments (except to the extent such obligations are financed or sold with recourse to Parent or any of the Restricted Subsidiaries) and proceeds from the conversion or sale of other property received when converted to or sold for cash or cash equivalents, net of brokerage and sales commissions and other fees and expenses (including fees and expenses of counsel, accountants and investment bankers) related to such Asset Sale and (2) with respect to any issuance or sale of Capital Stock, the proceeds of such issuance in the form of cash or Temporary Cash Investments, including payments in respect of deferred payment obligations (to the extent corresponding to the principal but not interest, component thereof) when received in the form of cash or Temporary Cash Investments (except to the extent such obligations are financed or sold with recourse to Parent or any of its Restricted Subsidiaries) and proceeds from the conversion of other property received when converted to cash or Temporary Cash Investments, net of attorneys’ fees, accountants’ fees, underwriters’ or placement agents’ fees, discounts or commissions and brokerage, consultant and other fees actually incurred in connection with such issuance or sale and net of tax paid or payable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Short</w:t>
      </w:r>
      <w:r>
        <w:rPr>
          <w:rFonts w:ascii="Times New Roman;Times;Serif" w:hAnsi="Times New Roman;Times;Serif"/>
          <w:b w:val="false"/>
          <w:i w:val="false"/>
          <w:caps w:val="false"/>
          <w:smallCaps w:val="false"/>
          <w:sz w:val="20"/>
        </w:rPr>
        <w:t>” means, with respect to a holder of the Notes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an Issuer or any Guarantor immediately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Person</w:t>
      </w:r>
      <w:r>
        <w:rPr>
          <w:rFonts w:ascii="Times New Roman;Times;Serif" w:hAnsi="Times New Roman;Times;Serif"/>
          <w:b w:val="false"/>
          <w:i w:val="false"/>
          <w:caps w:val="false"/>
          <w:smallCaps w:val="false"/>
          <w:sz w:val="20"/>
        </w:rPr>
        <w:t>” has the meaning assigned to such term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means the Issuers’ 6.250% Senior Notes due 2035 issued in accordance with Section 2.02 (whether issued on the Issue Date, issued as Additional Notes, or otherwise issued after the Issue Date) treated as a single class of securities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any principal, interest, penalties, fees, indemnifications, reimbursements, damages and other liabilities payable under the documentation governing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means the sale of the Initial Notes as described in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Memorandum</w:t>
      </w:r>
      <w:r>
        <w:rPr>
          <w:rFonts w:ascii="Times New Roman;Times;Serif" w:hAnsi="Times New Roman;Times;Serif"/>
          <w:b w:val="false"/>
          <w:i w:val="false"/>
          <w:caps w:val="false"/>
          <w:smallCaps w:val="false"/>
          <w:sz w:val="20"/>
        </w:rPr>
        <w:t>” means the final Offering Memorandum dated August 11, 2026, pursuant to which the Notes issued on the Issue Date were offered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any of the following with respect to any Person: the Chairman of the Board of Directors, the Chief Executive Officer, the Chief Financial Officer, Chief Accounting Officer, Chief Operating Officer, the President, any Vice President (whether or not designated by a number or numbers or word or words added before or after the title “Vice President”), the Treasurer, any Assistant Treasurer, the Controller, the General Counsel or the Secretary or any Assistant Secretary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an Officer of Parent or each of the Issuers,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a written opinion from legal counsel who is reasonably acceptable to the Trustee. The counsel may be an employee of, or counsel to the Issuers, or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Opry Assets</w:t>
      </w:r>
      <w:r>
        <w:rPr>
          <w:rFonts w:ascii="Times New Roman;Times;Serif" w:hAnsi="Times New Roman;Times;Serif"/>
          <w:b w:val="false"/>
          <w:i w:val="false"/>
          <w:caps w:val="false"/>
          <w:smallCaps w:val="false"/>
          <w:sz w:val="20"/>
        </w:rPr>
        <w:t xml:space="preserve">” means the then existing tangible and intangible assets described as the Grand Ole Opry, the Ryman Auditorium, the General Jackson Showboat, the Gaylord Springs Golf Links, the Wildhorse Saloon, WSM-AM, Ole Red and Parent’s equity investment in Circle Media, LLC (f/k/a New Country Ventures, LLC) in Part I of Parent’s annual report on Form 10-K for the year ended December 31, 2019, as filed with the Securities and Exchange Commission, and subsequent filings, together with (a) the taxable special obligation bonds of Prince George’s County, Maryland issued in 2005 in connection with the National Harbor convention center project, with an initial principal amount of $95,000,000, (b) the taxable subordinate special obligation bonds of Prince George’s County, Maryland issued in 2008 in connection with the National Harbor convention center project, with an initial principal amount of $50,000,000, (c) any assets of Parent or Subsidiaries reflected in the “Entertainment” segment of Parent’s business from time to time in filings with the Securities and Exchange Commission and (d) other assets of Parent or any Subsidiaries with an aggregate book value of up to $200,000,000 that Parent’s Board of Directors may designate as part of the Opry Assets (after netting any debt assumed);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assets designated as Opry Assets will not include the seven hotels owned as of February 17, 2021 by the Guarantors or other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Senior Notes</w:t>
      </w:r>
      <w:r>
        <w:rPr>
          <w:rFonts w:ascii="Times New Roman;Times;Serif" w:hAnsi="Times New Roman;Times;Serif"/>
          <w:b w:val="false"/>
          <w:i w:val="false"/>
          <w:caps w:val="false"/>
          <w:smallCaps w:val="false"/>
          <w:sz w:val="20"/>
        </w:rPr>
        <w:t>” means the Issuers’ outstanding (i) 7.250% Senior Notes due 2028, (ii) </w:t>
      </w:r>
      <w:r>
        <w:rPr>
          <w:rFonts w:ascii="Times New Roman;Times;Serif" w:hAnsi="Times New Roman;Times;Serif"/>
          <w:b w:val="false"/>
          <w:i w:val="false"/>
          <w:caps w:val="false"/>
          <w:smallCaps w:val="false"/>
          <w:sz w:val="20"/>
          <w:u w:val="single"/>
        </w:rPr>
        <w:t>4.500% Senior Notes due 2029</w:t>
      </w:r>
      <w:r>
        <w:rPr>
          <w:rFonts w:ascii="Times New Roman;Times;Serif" w:hAnsi="Times New Roman;Times;Serif"/>
          <w:b w:val="false"/>
          <w:i w:val="false"/>
          <w:caps w:val="false"/>
          <w:smallCaps w:val="false"/>
          <w:sz w:val="20"/>
        </w:rPr>
        <w:t>, (iii) 6.500% Senior Notes due 2032, (iv) 6.500% Senior Notes due 2033 and (v) 5.750%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Indebtedness</w:t>
      </w:r>
      <w:r>
        <w:rPr>
          <w:rFonts w:ascii="Times New Roman;Times;Serif" w:hAnsi="Times New Roman;Times;Serif"/>
          <w:b w:val="false"/>
          <w:i w:val="false"/>
          <w:caps w:val="false"/>
          <w:smallCaps w:val="false"/>
          <w:sz w:val="20"/>
        </w:rPr>
        <w:t>” means any Indebtedness of an Issuer or any Subsidiary Guarantor that ranks pari passu in right of payment with the Notes or the Subsidiary Guaranty thereof by such Subsidiary Guarantor,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References</w:t>
      </w:r>
      <w:r>
        <w:rPr>
          <w:rFonts w:ascii="Times New Roman;Times;Serif" w:hAnsi="Times New Roman;Times;Serif"/>
          <w:b w:val="false"/>
          <w:i w:val="false"/>
          <w:caps w:val="false"/>
          <w:smallCaps w:val="false"/>
          <w:sz w:val="20"/>
        </w:rPr>
        <w:t>” has the meaning assigned to such term in the definition of “Derivative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Business</w:t>
      </w:r>
      <w:r>
        <w:rPr>
          <w:rFonts w:ascii="Times New Roman;Times;Serif" w:hAnsi="Times New Roman;Times;Serif"/>
          <w:b w:val="false"/>
          <w:i w:val="false"/>
          <w:caps w:val="false"/>
          <w:smallCaps w:val="false"/>
          <w:sz w:val="20"/>
        </w:rPr>
        <w:t>” means any business activity (including Permitted Mortgage Investments) in which Parent and Restricted Subsidiaries are engaged in on the Issue Date, any business activity related to properties customarily constituting assets of a REIT owning assets in the hospitality or entertainment industries, or any business reasonably related, ancillary, incidental or complementary thereto, or reasonable expansions or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Government Revenue Bond Indebtedness</w:t>
      </w:r>
      <w:r>
        <w:rPr>
          <w:rFonts w:ascii="Times New Roman;Times;Serif" w:hAnsi="Times New Roman;Times;Serif"/>
          <w:b w:val="false"/>
          <w:i w:val="false"/>
          <w:caps w:val="false"/>
          <w:smallCaps w:val="false"/>
          <w:sz w:val="20"/>
        </w:rPr>
        <w:t xml:space="preserve">” means revenue bonds issued by a state or local government or an agency, authority or other instrumentality thereof, the proceeds of which are used to finance or refinance the acquisition, construction, equipping or improvement of facilities or property used in a Permitted Business, and any deferred lease obligation of Parent or any of its Restricted Subsidiaries relating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such revenue bonds are non-recourse to Parent and any of its Restricted Subsidiaries (unless and to the extent Parent or a Restricted Subsidiary is the holder of such bonds) and (b) the principal of, interest on or costs relating to such revenue bonds are payable solely from (i) proceeds of such bonds, (ii) all or an incremental portion of sales, use, lodgers’, property and other generally applicable taxes (not including income taxes), whether generated by or levied on such facilities or property or the activities and business conducted thereon or upon property located in a broader area, (iii) reserve funds created with proceeds of such bonds or with revenues described in (ii), (iv) a general or “moral obligation” pledge of a state or local government or agency, authority or other instrumentality thereof, or (v) if Parent or a Restricted Subsidiary is the holder of such bonds, payments made by Parent or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an Investment in Parent or any of the Restricted Subsidiaries or (b) a Person that will, upon the making of such Investment, become a Restricted Subsidiary or be merged or consolidated with or into or transfer or convey all or substantially all its assets to, Parent or any of the Restricted Subsidiaries and, in each case, any Investment held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Investment was not acquired by such Person in contemplation of such acquisition, merger, consolidation 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investments in cash and Temporary Cash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Investments made by Parent or the Restricted Subsidiaries as a result of consideration received in connection with an Asset Sale made in compliance with Section 4.11 or from any other disposition or transfer of assets not constituting an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Investments represented by Guarantees that are otherwise permitted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payroll, travel and similar advances to cover matters that are expected at the time of such advances ultimately to be treated as expenses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Investments received in satisfaction of judgments or in settlements of debt or compromises of obligations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Investment acquired solely in exchange for Capital Stock (other than Disqualified Stock) of Parent or Opco, which Parent or Opco did not receive in exchange for a cash payment, Indebtedness or Disqualified Stock, but excluding any new cash Investments made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obligations under Interest Rate Agreements otherwise permitted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Permitted Mortgage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any transaction that constitutes an Investment to the extent permitted and made in accordance with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(except transactions pursuant to </w:t>
      </w:r>
      <w:r>
        <w:rPr>
          <w:rFonts w:ascii="Times New Roman;Times;Serif" w:hAnsi="Times New Roman;Times;Serif"/>
          <w:b w:val="false"/>
          <w:i w:val="false"/>
          <w:caps w:val="false"/>
          <w:smallCaps w:val="false"/>
          <w:sz w:val="20"/>
          <w:u w:val="single"/>
        </w:rPr>
        <w:t>Sections 4.12(b)(i)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Investment in any Subsidiary or joint venture in which Parent or any of the Restricted Subsidiaries owns Capital Stock (including options, warrants or other rights to acquire such shares of Capital Stock) in connection with intercompany cash management arrangements or related activities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Investment consisting of prepaid expenses, negotiable instruments held for collection and lease, endorsements for deposit or collection in the ordinary course of business, utility or workers’ compensation, performance and similar deposits entered into as a result of the operations of the business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pledges or deposits by a Person under workers’ compensation laws, unemployment insurance laws or similar legislation, or deposits in connection with bids, tenders, contracts (other than for the payment of Indebtedness) or leases to which such Person is a party, or deposits as security for contested taxes or import duties or for the payment of rent, in each case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any Investment acquired by Parent or any of the Restricted Subsidiaries (a) in exchange for any other Investment or accounts receivable or rents receivable held by Parent or any such Restricted Subsidiary in connection with or as a result of a bankruptcy, workout, reorganization or recapitalization of an issuer of such other Investment or accounts receivable or rents receivable or (b) as a result of a foreclosure by Parent or any of the Restricted Subsidiaries with respect to any secured Investment or other transfer of title with respect to any secured Investment in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Investment consisting of a loan or advance to officers, directors or employees of Parent or any of the Restricted Subsidiaries (a) in connection with the purchase by such Persons of Capital Stock of Parent or (b) for additional purposes made in the ordinary course of business, in the aggregate under this clause (15) not to exceed $5,000,000 at any one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Investment made in connection with the funding of contributions under any nonqualified employee retirement plan or similar employee compensation plan in an amount not to exceed the amount of compensation expenses recognized by Parent and any of the Restricted Subsidiaries in connection with such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any Investment existing on the Issue Date or made pursuant to a binding commitment in each case in effect on the Issue Date or an Investment consisting of any extension, modification, replacement or renewal of any such Investment or binding commitment existing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additional Investments not to exceed the greater of (x) $360,000,000 and (y) 4.0% of Adjusted Total Assets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Investments in Unrestricted Subsidiaries and joint ventures in an aggregate amount, taken together with all other Investments made in reliance on this clause not to exceed the greater of (x) $360,000,000 and (y) 4.0% of Adjusted Total Assets (net of, with respect to the Investment in any particular Person, the cash return thereon received after the Issue Date as a result of any sale for cash, repayment, redemption, liquidating distribution or other cash realization (not included in Consolidated EBITDA), not to exceed the amount of Investments in such Person made after the Issue Date in reliance on this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Entering into Permitted Non-Recourse Guarantees (it being understood that any payments or other transfers made pursuant to such Permitted Non-Recourse Guarantees will not be permitted by this clause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Investments in account receivables, trade credit, and advances to customers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Investments in bonds, notes, loans or other Investments acquired solely as a means of implementing government tax or economic incentive programs relating to property or assets used in, and/or permitted public costs in connection with, a Permitted Business, and that shall be repaid from tax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Liens on any assets (including real or personal property) of Parent and any Restricted Subsidiary securing Indebtedness and other Obligations (A) under any Credit Facility that were permitted to be Incurred under </w:t>
      </w:r>
      <w:r>
        <w:rPr>
          <w:rFonts w:ascii="Times New Roman;Times;Serif" w:hAnsi="Times New Roman;Times;Serif"/>
          <w:b w:val="false"/>
          <w:i w:val="false"/>
          <w:caps w:val="false"/>
          <w:smallCaps w:val="false"/>
          <w:sz w:val="20"/>
          <w:u w:val="single"/>
        </w:rPr>
        <w:t>Section 4.08(d)(i)</w:t>
      </w:r>
      <w:r>
        <w:rPr>
          <w:rFonts w:ascii="Times New Roman;Times;Serif" w:hAnsi="Times New Roman;Times;Serif"/>
          <w:b w:val="false"/>
          <w:i w:val="false"/>
          <w:caps w:val="false"/>
          <w:smallCaps w:val="false"/>
          <w:sz w:val="20"/>
        </w:rPr>
        <w:t xml:space="preserve"> or (B) permitted to be Incurred under both </w:t>
      </w:r>
      <w:r>
        <w:rPr>
          <w:rFonts w:ascii="Times New Roman;Times;Serif" w:hAnsi="Times New Roman;Times;Serif"/>
          <w:b w:val="false"/>
          <w:i w:val="false"/>
          <w:caps w:val="false"/>
          <w:smallCaps w:val="false"/>
          <w:sz w:val="20"/>
          <w:u w:val="single"/>
        </w:rPr>
        <w:t>Sections 4.08(b)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4.08(c)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Liens in favor of the Issuers or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Liens on property of a Person existing at the time such Person is merged with or into or consolidated with Parent or any Restricted Subsidiary or becomes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were in existence prior to the contemplation of such merger, consolidation or acquisition and do not extend to any assets other than those of the Person merged into, consolidated with Parent or such Restricted Subsidiary or acquired by Parent or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Liens on property existing at the time of acquisition of the property by Parent or any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were in existence prior to the contemplation of such acquisition and do not extend to any property other than the property so acquired by Parent or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Liens to secure the performance of statutory obligations, surety or appeal bonds, performance bonds or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Liens to secure Indebtedness (including Capitalized Lease Obligations) Incurred under </w:t>
      </w:r>
      <w:r>
        <w:rPr>
          <w:rFonts w:ascii="Times New Roman;Times;Serif" w:hAnsi="Times New Roman;Times;Serif"/>
          <w:b w:val="false"/>
          <w:i w:val="false"/>
          <w:caps w:val="false"/>
          <w:smallCaps w:val="false"/>
          <w:sz w:val="20"/>
          <w:u w:val="single"/>
        </w:rPr>
        <w:t>Sections 4.08(d)(xv)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4.08(d)(xxi)</w:t>
      </w:r>
      <w:r>
        <w:rPr>
          <w:rFonts w:ascii="Times New Roman;Times;Serif" w:hAnsi="Times New Roman;Times;Serif"/>
          <w:b w:val="false"/>
          <w:i w:val="false"/>
          <w:caps w:val="false"/>
          <w:smallCaps w:val="false"/>
          <w:sz w:val="20"/>
        </w:rPr>
        <w:t> covering only the assets acquired with such Indebtedness (or refinancings thereof) and directly related assets, including proceeds and replacements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Liens existing on the Issue Date and Liens relating to any refinancing of the obligations secured by such Liens;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Liens do not encumber any property other than the property (including proceeds) subject thereto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Liens for taxes, assessments or governmental charges or claims that are not yet delinquent or that are being contested in good faith by appropriate proceedings promptly instituted and diligently concluded;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reserve or other appropriate provision as is required in conformity with GAAP has been made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Liens securing Permitted Refinancing Indebtedness constituting Secured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Lien does not extend to or cover any property, Capital Stock or Indebtedness other than the property, shares or debt securing the Indebtedness so refunded, refinanced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Attachment or judgment Liens not giving rise to a Default or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on the Capital Stock of Unrestricted Subsidiaries securing Indebtedness of such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Liens incurred with respect to obligations that do not exceed $55,000,000 at any one time outstanding and Liens to secure Indebtedness incurred under </w:t>
      </w:r>
      <w:r>
        <w:rPr>
          <w:rFonts w:ascii="Times New Roman;Times;Serif" w:hAnsi="Times New Roman;Times;Serif"/>
          <w:b w:val="false"/>
          <w:i w:val="false"/>
          <w:caps w:val="false"/>
          <w:smallCaps w:val="false"/>
          <w:sz w:val="20"/>
          <w:u w:val="single"/>
        </w:rPr>
        <w:t>Section 4.08(d)(xx)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pledges or deposits under workmen’s compensation laws, unemployment insurance laws or similar legislation, or good faith deposits in connection with bids, tenders, contracts (other than for the payment of Indebtedness) or leases to which Parent or any Restricted Subsidiary is a party, or deposits to secure public or statutory obligations of Parent or any Restricted Subsidiary or deposits or cash or government securities to secure surety or appeal bonds to which Parent or any Restricted Subsidiary is a party, or deposits as security for contested taxes or import or customs duties or for the payment of rent, in each case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imposed by law, including carriers’, warehousemen’s, materialman’s and mechanics’ Liens, in each case for sums not overdue for a period of more than 30 days or being contested in good faith by appropriate proceedings if a reserve or other appropriate provision, if any, as shall be required by GAAP (or deposits made pursuant to applicable law or bonds obtained from reputable insurance companies) shall have been made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survey exceptions, encumbrances, easements or reservations of, or rights of others for, licenses, rights of way, sewers, electric lines, telegraph and telephone lines and other similar purposes, or zoning or other restrictions as to the use of real properties or liens incidental to the conduct of the business of Parent or a Restricted Subsidiary or to the ownership of its properties that do not in the aggregate materially adversely affect the value of said properties or materially impair their use in the operation of the business of Parent or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leases and subleases of real property that do not materially interfere with the ordinary conduct of the business of Parent or any of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normal customary rights of setoff, revocation, refund or chargeback with respect to money or instruments upon deposits of cash in favor of collecting or payor banks or other depository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interest or title of a lessor, licensor or sublicensor in the property subject to any lease, license or sublicense (other than property that is the subject of a Sale and Leaseback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Liens of cash or Temporary Cash Investments securing Interest Rate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Liens, deposits or pledges to secure performance of bids, tenders, contracts (other than contracts for the payment of Indebtedness), leases, or other similar obligations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Liens on property or assets used to defease Indebtedness that was not incurred in violation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Liens arising from precautionary uniform commercial code financing statements regarding operating leases and consignments;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Liens related to Permitted Government Revenue Bond Indebtedness and the implementation of related or similar governmental tax or economic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Liens upon, and defects of title to, property, including any attachment of property or other legal process prior to adjudication of a dispute on the merits if either (1) no amounts are due and payable and no Lien has been filed or agreed to, or (2) the validity or amount thereof is being contested in good faith by lawful proceedings, reserve or other provision required by GAAP has been made, and levy and execution thereon have been (and continue to be) stayed or payment thereof is covered in full (subject to the customary deductible)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any extension, renewal or replacement, in whole or in part of any Lien described in clauses (3), (4), (6) and (7) of this definition of “Permitted Liens”;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extension, renewal or replacement is no more restrictive in any material respect, taken as a whole, than any Lien so extended, renewed or replaced and does not extend to any additional property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Liens under licensing agreements for use of intellectual property entered into in the ordinary course of business and consistent with past practice, including, without limitation, the licensing of any intellectual property that Parent or any of its Subsidiaries determine to no longer utilize;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Liens Incurred in the ordinary course of business not securing Indebtedness and that do not, individually or in the aggregate, detract from the value of property or assets of Parent or any of its Restricted Subsidiaries in any manner material to Parent and its Restricted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Liens on assets pursuant to merger agreements, stock or asset purchase agreements and similar agreements in respect of the disposition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Liens solely on any cash earnest money deposits made by Parent or a Restricted Subsidiary in connection with any letter of intent or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Liens securing Interest Rate Agreements permitted under </w:t>
      </w:r>
      <w:r>
        <w:rPr>
          <w:rFonts w:ascii="Times New Roman;Times;Serif" w:hAnsi="Times New Roman;Times;Serif"/>
          <w:b w:val="false"/>
          <w:i w:val="false"/>
          <w:caps w:val="false"/>
          <w:smallCaps w:val="false"/>
          <w:sz w:val="20"/>
          <w:u w:val="single"/>
        </w:rPr>
        <w:t>Section 4.08(d)(iii)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Liens arising out of conditional sale, title retention, consignment or similar arrangements with vendors for the sale or purchase of goods entered into by Parent or a Restricted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any encumbrance or restriction (including put and call arrangements) with respect to Capital Stock of any joint venture or similar arrangement pursuant to any joint venture or similar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Liens created by or resulting from any litigation or legal proceeding involving Parent or a Restricted Subsidiary in the ordinary course of its business which is currently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adequate reserves have been set aside by Parent or the relevant Restricted Subsidiary with respect thereto, and such Liens are discharged or stayed within 60 days of creation and no material property is subject to a material risk of loss or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Mortgage Investment</w:t>
      </w:r>
      <w:r>
        <w:rPr>
          <w:rFonts w:ascii="Times New Roman;Times;Serif" w:hAnsi="Times New Roman;Times;Serif"/>
          <w:b w:val="false"/>
          <w:i w:val="false"/>
          <w:caps w:val="false"/>
          <w:smallCaps w:val="false"/>
          <w:sz w:val="20"/>
        </w:rPr>
        <w:t>” means any Investment in secured notes, mortgage, deeds of trust, collateralized mortgage obligations, commercial mortgage-backed securities, other secured debt securities, secured debt derivative or other secured debt instruments, so long as such investment relates directly or indirectly to real property that constitutes or is used as a hotel, resort or other property customarily constituting an asset of a REIT specializing in properties relating to the hospitality and entertainment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Non-Recourse Guarantees</w:t>
      </w:r>
      <w:r>
        <w:rPr>
          <w:rFonts w:ascii="Times New Roman;Times;Serif" w:hAnsi="Times New Roman;Times;Serif"/>
          <w:b w:val="false"/>
          <w:i w:val="false"/>
          <w:caps w:val="false"/>
          <w:smallCaps w:val="false"/>
          <w:sz w:val="20"/>
        </w:rPr>
        <w:t>” means customary indemnities or limited contingent guarantees (including by means of separate indemnification agreements or carve-out guarantees) provided in the ordinary course of business by Parent or any of the Restricted Subsidiaries to finance the acquisition of real property that are directly or indirectly secured by only such real property (and any accessions, improvements and fixtures thereto) or by a pledge of the Capital Stock, and options, warrants or other rights to acquire such shares of Capital Stock, of a joint venture (so long as such joint venture is not a Restricted Subsidiary) or Unrestricted Subsidiary that owns such real property and is the borrower in such financing, and that may be full recourse or non-recourse to such joint venture or Unrestricted Subsidiary, but is non-recourse to Parent or any Restricted Subsidiary except for such indemnities and limited contingent guarantees as are consistent with customary industry practice (such as environmental indemnities and recourse triggers based on violation of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Refinancing Indebtedness</w:t>
      </w:r>
      <w:r>
        <w:rPr>
          <w:rFonts w:ascii="Times New Roman;Times;Serif" w:hAnsi="Times New Roman;Times;Serif"/>
          <w:b w:val="false"/>
          <w:i w:val="false"/>
          <w:caps w:val="false"/>
          <w:smallCaps w:val="false"/>
          <w:sz w:val="20"/>
        </w:rPr>
        <w:t xml:space="preserve">” means any Indebtedness of Parent or any of the Restricted Subsidiaries issued in exchange for, or the net proceeds of which are used to extend, refinance, renew, replace, defease, discharge or refund other Indebtedness of Parent or any of the Restricted Subsidiaries (other than intercompany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principal amount (or accreted value, if applicable) of such Permitted Refinancing Indebtedness does not exceed the principal amount (or accreted value, if applicable) of the Indebtedness so extended, refinanced, renewed, replaced, defeased, discharged or refunded (plus all accrued interest thereon and the amount of any fees and expenses, including premiums,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Permitted Refinancing Indebtedness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final maturity date later than the earlier of (x) the final maturity date of the Indebtedness being extended, refinanced, renewed, replaced, defeased, discharged or refunded or (y) the date that is 91 days after the maturity of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Average Life equal to or greater than the lesser of (x) the Average Life of the Indebtedness being extended, refinanced, renewed, replaced, defeased, discharged or refunded or (y) the date that is 91 days more than the Average Life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Indebtedness being extended, refinanced, renewed, replaced, defeased, discharged or refunded is contractually subordinated in right of payment to the Notes or any Guaranty, such Permitted Refinancing Indebtedness is contractually subordinated in right of payment to the Notes on terms at least as favorable to the holders of Notes as those contained in the documentation governing the Indebtedness being extended, refinanced, renewed, replaced, defeased, discharged or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Indebtedness being extended, refinanced, renewed, replaced, defeased, discharged or refunded is pari passu in right of payment with the Notes or any Guaranty thereof, such Permitted Refinancing Indebtedness is pari passu in right of payment with, or subordinated in right of payment to, the Notes or such Guaranty;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such Indebtedness is Incurred either by Parent, an Issuer, any Subsidiary Guarantor or the Restricted Subsidiary who is the obligor on the Indebtedness being extended, refinanced, renewed, replaced, defeased, discharged or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clause (2) of this definition shall not apply to (x) any extension, refinancing, renewal, replacement, defeasance, discharge or refunding of any Indebtedness Incurred pursuant to </w:t>
      </w:r>
      <w:r>
        <w:rPr>
          <w:rFonts w:ascii="Times New Roman;Times;Serif" w:hAnsi="Times New Roman;Times;Serif"/>
          <w:b w:val="false"/>
          <w:i w:val="false"/>
          <w:caps w:val="false"/>
          <w:smallCaps w:val="false"/>
          <w:sz w:val="20"/>
          <w:u w:val="single"/>
        </w:rPr>
        <w:t>Section 4.08(d)(xv)</w:t>
      </w:r>
      <w:r>
        <w:rPr>
          <w:rFonts w:ascii="Times New Roman;Times;Serif" w:hAnsi="Times New Roman;Times;Serif"/>
          <w:b w:val="false"/>
          <w:i w:val="false"/>
          <w:caps w:val="false"/>
          <w:smallCaps w:val="false"/>
          <w:sz w:val="20"/>
        </w:rPr>
        <w:t> or (y) an aggregate amount of Indebtedness not to exceed $50,000,000 at any time outstanding that otherwise qualifies as “Permitted Refinancing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government or any agency or political subdivision thereof or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means, with respect to any Person, any and all shares, interests, participations or other equivalents (however designated, whether voting or non-voting) that have a preference on liquidation or with respect to distributions over any other class of Capital Stock, including preferred partnership interests, whether general or limited, or such Person’s preferred or preference stock, whether outstanding on the Issue Date or issued thereafter, including all series and classes of such preferred or preference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w:t>
      </w:r>
      <w:r>
        <w:rPr>
          <w:rFonts w:ascii="Times New Roman;Times;Serif" w:hAnsi="Times New Roman;Times;Serif"/>
          <w:b w:val="false"/>
          <w:i w:val="false"/>
          <w:caps w:val="false"/>
          <w:smallCaps w:val="false"/>
          <w:sz w:val="20"/>
        </w:rPr>
        <w:t>” means, with respect to the Notes, the principal of and premium, if any,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xml:space="preserve">” means the legends initially set forth on the Notes in the form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Cost Savings</w:t>
      </w:r>
      <w:r>
        <w:rPr>
          <w:rFonts w:ascii="Times New Roman;Times;Serif" w:hAnsi="Times New Roman;Times;Serif"/>
          <w:b w:val="false"/>
          <w:i w:val="false"/>
          <w:caps w:val="false"/>
          <w:smallCaps w:val="false"/>
          <w:sz w:val="20"/>
        </w:rPr>
        <w:t>” means, with respect to any period, the reductions in costs (including such reductions resulting from employee terminations, facilities consolidations and closings, standardization of employee benefits and compensation policies, consolidation of property, casualty and other insurance coverage and policies, standardization of sales and distribution methods, reductions in taxes other than income taxes) that occurred during such period that are (1) directly attributable to an Asset Acquisition or (2) implemented and that are factually supportable and reasonably quantifiable by the underlying records of such business, as if, in the case of each of clauses (1) and (2), all such reductions in costs had been effected as of the beginning of such period, decreased by any incremental expenses incurred or to be incurred during such period in order to achieve such reduction in costs, all such costs to be determined in good faith by the chief financial officer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Institutional Buyer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QIB</w:t>
      </w:r>
      <w:r>
        <w:rPr>
          <w:rFonts w:ascii="Times New Roman;Times;Serif" w:hAnsi="Times New Roman;Times;Serif"/>
          <w:b w:val="false"/>
          <w:i w:val="false"/>
          <w:caps w:val="false"/>
          <w:smallCaps w:val="false"/>
          <w:sz w:val="20"/>
        </w:rPr>
        <w:t>” shall have the meaning specified in Rule 144A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means (1) each of Moody’s, S&amp;P and Fitch; and (2) if any of Moody’s, S&amp;P or Fitch ceases to rate the Notes or fails to make a rating of the Notes publicly available for reasons outside of an Issuer’s control, a “nationally recognized statistical rating organization” as such term is defined in Section 3(a)(62) of the Exchange Act, selected by the Issuers as a replacement agency for Moody’s, S&amp;P or Fitch, or any of them,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Decline Period</w:t>
      </w:r>
      <w:r>
        <w:rPr>
          <w:rFonts w:ascii="Times New Roman;Times;Serif" w:hAnsi="Times New Roman;Times;Serif"/>
          <w:b w:val="false"/>
          <w:i w:val="false"/>
          <w:caps w:val="false"/>
          <w:smallCaps w:val="false"/>
          <w:sz w:val="20"/>
        </w:rPr>
        <w:t>” means the 60-day period (which 60-day period shall be extended as long as the credit rating on the Notes is under publicly announced consideration for a possible downgrade by any of the Rating Agencies) after the earliest of (a) the occurrence of a Change of Control, (b) the first public notice of the occurrence of such Change of Control and (c) the first public notice of an Issuer’s intention to effect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Event</w:t>
      </w:r>
      <w:r>
        <w:rPr>
          <w:rFonts w:ascii="Times New Roman;Times;Serif" w:hAnsi="Times New Roman;Times;Serif"/>
          <w:b w:val="false"/>
          <w:i w:val="false"/>
          <w:caps w:val="false"/>
          <w:smallCaps w:val="false"/>
          <w:sz w:val="20"/>
        </w:rPr>
        <w:t>” means, with respect to any Change of Control, (a) the credit rating on the Notes is lowered by one or more gradations (including gradations within ratings categories as well as between categories but excluding, for the avoidance of doubt, changes in ratings outlook) as compared to the rating of the Notes on the Issue Date by each of the Rating Agencies during the Rating Decline Period relating to such Change of Control and each such Rating Agency shall have put forth a public statement to the effect that such downgrade is attributable in whole or in part to such Change of Control and (b) immediately after giving effect to the reduction in the credit rating on the Notes by the Rating Agencies as described in clause (a), the Notes do not have an Investment Grade Status from any of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Estate Assets</w:t>
      </w:r>
      <w:r>
        <w:rPr>
          <w:rFonts w:ascii="Times New Roman;Times;Serif" w:hAnsi="Times New Roman;Times;Serif"/>
          <w:b w:val="false"/>
          <w:i w:val="false"/>
          <w:caps w:val="false"/>
          <w:smallCaps w:val="false"/>
          <w:sz w:val="20"/>
        </w:rPr>
        <w:t>” of a Person means, as of any date, the real estate assets of such Person and its Restricted Subsidiaries on such date, on a consolidated basis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the applicable Record Date specified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when used with respect to any Note to be redeemed, means the date fixed for such redemption pursuant to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when used with respect to any Note to be redeemed, means the price fixed for such redemption, payable in immediately available funds, pursuant to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REIT</w:t>
      </w:r>
      <w:r>
        <w:rPr>
          <w:rFonts w:ascii="Times New Roman;Times;Serif" w:hAnsi="Times New Roman;Times;Serif"/>
          <w:b w:val="false"/>
          <w:i w:val="false"/>
          <w:caps w:val="false"/>
          <w:smallCaps w:val="false"/>
          <w:sz w:val="20"/>
        </w:rPr>
        <w:t>” means real estate investment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REIT conversion costs</w:t>
      </w:r>
      <w:r>
        <w:rPr>
          <w:rFonts w:ascii="Times New Roman;Times;Serif" w:hAnsi="Times New Roman;Times;Serif"/>
          <w:b w:val="false"/>
          <w:i w:val="false"/>
          <w:caps w:val="false"/>
          <w:smallCaps w:val="false"/>
          <w:sz w:val="20"/>
        </w:rPr>
        <w:t>” means any REIT conversion costs included in Parent’s consolidated statements of operations, prepared in accordance with GAAP, for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Assets</w:t>
      </w:r>
      <w:r>
        <w:rPr>
          <w:rFonts w:ascii="Times New Roman;Times;Serif" w:hAnsi="Times New Roman;Times;Serif"/>
          <w:b w:val="false"/>
          <w:i w:val="false"/>
          <w:caps w:val="false"/>
          <w:smallCaps w:val="false"/>
          <w:sz w:val="20"/>
        </w:rPr>
        <w:t>” means (1) tangible non-current assets that will be used or useful in a Permitted Business or (2) substantially all the assets of a Permitted Business or a majority of the Voting Stock of any Person engaged in a Permitted Business that will become on the date of acquisition thereof a Restricted Subsidiary (including the merger of such a Person into a Restricted Subsidiary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when used with respect to the Trustee, any officer in the Corporate Trust Office of the Trustee who customarily performs functions similar to those performed by the Persons who at the time shall have direct responsibility for the administration of this Indenture or any other officer of such Trustee to whom any corporate trust matter is referred because of such officer’s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Security</w:t>
      </w:r>
      <w:r>
        <w:rPr>
          <w:rFonts w:ascii="Times New Roman;Times;Serif" w:hAnsi="Times New Roman;Times;Serif"/>
          <w:b w:val="false"/>
          <w:i w:val="false"/>
          <w:caps w:val="false"/>
          <w:smallCaps w:val="false"/>
          <w:sz w:val="20"/>
        </w:rPr>
        <w:t xml:space="preserve">” means a Note that constitutes a “Restricted Security” within the meaning of Rule 144(a)(3)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shall be entitled to request and conclusively rely on an Opinion of Counsel with respect to whether any Note constitutes a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means, with respect to a Person, any Subsidiary of such Person other than an Unrestricted Subsidiary. Unless the context otherwise requires, Restricted Subsidiaries refer to Restricted Subsidiaries of Parent, including, without limitation,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Facility</w:t>
      </w:r>
      <w:r>
        <w:rPr>
          <w:rFonts w:ascii="Times New Roman;Times;Serif" w:hAnsi="Times New Roman;Times;Serif"/>
          <w:b w:val="false"/>
          <w:i w:val="false"/>
          <w:caps w:val="false"/>
          <w:smallCaps w:val="false"/>
          <w:sz w:val="20"/>
        </w:rPr>
        <w:t>” means the $850,000,000 senior secured revolving credit facility due January 28, 2030, governed by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means Rule 144A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Services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any direct or indirect arrangement with any Person or to which any such Person is a party, providing for the leasing to Parent or any Restricted Subsidiary of any property, whether owned by Parent or any such Restricted Subsidiary at the Issue Date or later acquired and held for more than 60 days, which has been or is to be sold or transferred by Parent or any such Restricted Subsidiary to such Person or any other Person from whom funds have been or are to be advanced by such Person on the security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Screened Affiliate</w:t>
      </w:r>
      <w:r>
        <w:rPr>
          <w:rFonts w:ascii="Times New Roman;Times;Serif" w:hAnsi="Times New Roman;Times;Serif"/>
          <w:b w:val="false"/>
          <w:i w:val="false"/>
          <w:caps w:val="false"/>
          <w:smallCaps w:val="false"/>
          <w:sz w:val="20"/>
        </w:rPr>
        <w:t>” means any Affiliate of a holder of the Notes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Parent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means any Indebtedness secured by a Lien upon the property of Parent or any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or any successor statute or statutes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with respect to any Person, means any Restricted Subsidiary of such Person that satisfies the criteria for a “significant subsidiary” set forth in Rule 1-02(w) of Regulation S-X under the Exchange Act, as such regulation is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any debt security, the date specified in such debt security as the fixed date on which the final installment of principal of such debt security is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any scheduled installment of principal of or interest on any debt security, the date specified in such debt security as the fixed date on which such installment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Stated Maturity shall not include any contingent obligations to repay, redeem or repurchase any such interest or principal prior to the date originally scheduled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Indebtedness that by the terms of such Indebtedness is subordinated in right of payment to the principal of and interest and premium, if any, on the Notes or any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 of the voting power of the outstanding Voting Stock is owned, directly or indirectly, by such Person and one or more other Subsidiaries of such Person and the accounts of which would be consolidated with those of such Person in its consolidated financial statements in accordance with GAAP, if such statements were prepared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Guarantors</w:t>
      </w:r>
      <w:r>
        <w:rPr>
          <w:rFonts w:ascii="Times New Roman;Times;Serif" w:hAnsi="Times New Roman;Times;Serif"/>
          <w:b w:val="false"/>
          <w:i w:val="false"/>
          <w:caps w:val="false"/>
          <w:smallCaps w:val="false"/>
          <w:sz w:val="20"/>
        </w:rPr>
        <w:t>” means (i) each Restricted Subsidiary of the Issuers on the Issue Date that Guarantees the Credit Agreement and (ii) each other Person that is required to become a Guarantor by the terms of this Indenture after the Issue Date, in each case, until such Person is released from its Subsidiary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Guaranty</w:t>
      </w:r>
      <w:r>
        <w:rPr>
          <w:rFonts w:ascii="Times New Roman;Times;Serif" w:hAnsi="Times New Roman;Times;Serif"/>
          <w:b w:val="false"/>
          <w:i w:val="false"/>
          <w:caps w:val="false"/>
          <w:smallCaps w:val="false"/>
          <w:sz w:val="20"/>
        </w:rPr>
        <w:t>” means a Guaranty by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xml:space="preserve">” means a Supplemental Indenture, to be entered into substantially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Cash Investment</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direct obligations of the United States of America or any agency thereof or obligations fully and unconditionally guaranteed by the United States of America or any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time deposit accounts, term deposit accounts, time deposits, bankers’ acceptances, certificates of deposit, Eurodollar time deposits and money market deposits maturing within twelve months or less of the date of acquisition thereof issued by (A) a bank or trust company that is organized under the laws of the United States of America, any state thereof, and which bank or trust company has capital, surplus and undivided profits aggregating in excess of $250,000,000 and has outstanding debt that is rated “A” (or such similar equivalent rating) or higher by at least one nationally recognized statistical rating organization (as defined in Rule 436 under the Securities Act) or (B) any money-market fund sponsored by a registered broker dealer or mutual fund distributor;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repurchase obligations with a term of not more than 30 days for underlying securities of the types described in clauses (2) and (3) above entered into with a bank meeting the qualifications described in clause (3)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commercial paper, maturing not more than six months after the date of acquisition, issued by a corporation (other than an Affiliate of Parent) organized and in existence under the laws of the United States of America, any state of the United States of America with a rating at the time as of which any investment therein is made of “P-2” (or higher) according to Moody’s, “A-2” (or higher) according to S&amp;P or “F-2” (or higher) according to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securities with maturities of twelve months or less from the date of acquisition issued or fully and unconditionally guaranteed by any state, commonwealth or territory of the United States of America, or by any political subdivision or taxing authority thereof, and rated at least “A” by S&amp;P, Moody’s or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securities with maturities of six months or less from the date of acquisition backed by standby letters of credit issued by any commercial bank satisfying the requirements of clause (3)(A)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fund investing substantially all of its assets in investments that constitute Temporary Cash Investments of the kinds described in clauses (1) through (7) of this definition;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money market funds that (A) comply with the criteria set forth in SEC Rule 2a-7 under the Investment Company Act of 1940, as amended, (B) are rated AAA by S&amp;P and Aaa by Moody’s and (C) have portfolio assets of at least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B</w:t>
      </w:r>
      <w:r>
        <w:rPr>
          <w:rFonts w:ascii="Times New Roman;Times;Serif" w:hAnsi="Times New Roman;Times;Serif"/>
          <w:b w:val="false"/>
          <w:i w:val="false"/>
          <w:caps w:val="false"/>
          <w:smallCaps w:val="false"/>
          <w:sz w:val="20"/>
        </w:rPr>
        <w:t>” means the $288,388,000 term loan due May 18, 2030, governed by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Assets</w:t>
      </w:r>
      <w:r>
        <w:rPr>
          <w:rFonts w:ascii="Times New Roman;Times;Serif" w:hAnsi="Times New Roman;Times;Serif"/>
          <w:b w:val="false"/>
          <w:i w:val="false"/>
          <w:caps w:val="false"/>
          <w:smallCaps w:val="false"/>
          <w:sz w:val="20"/>
        </w:rPr>
        <w:t>” means, for any Person as of any date, the sum of (a) Undepreciated Real Estate Assets plus (b) the book value of all assets (excluding Real Estate Assets and intangibles) of such Person and its Restricted Subsidiaries as of such date of determination on a consolidated basis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Date</w:t>
      </w:r>
      <w:r>
        <w:rPr>
          <w:rFonts w:ascii="Times New Roman;Times;Serif" w:hAnsi="Times New Roman;Times;Serif"/>
          <w:b w:val="false"/>
          <w:i w:val="false"/>
          <w:caps w:val="false"/>
          <w:smallCaps w:val="false"/>
          <w:sz w:val="20"/>
        </w:rPr>
        <w:t>” means, with respect to the Incurrence of any Indebtedness by Parent or any of the Restricted Subsidiaries, the date such Indebtedness is to be Incurred and, with respect to any Restricted Payment, the date such Restricted Payment is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as of any redemption date, the yield to maturity as of such redemption date of United States Treasury securities with a constant maturity (as compiled and published in the most recent Federal Reserve Statistical Release H.15 (519) (“</w:t>
      </w:r>
      <w:r>
        <w:rPr>
          <w:rFonts w:ascii="Times New Roman;Times;Serif" w:hAnsi="Times New Roman;Times;Serif"/>
          <w:b w:val="false"/>
          <w:i w:val="false"/>
          <w:caps w:val="false"/>
          <w:smallCaps w:val="false"/>
          <w:sz w:val="20"/>
          <w:u w:val="single"/>
        </w:rPr>
        <w:t>Statistical Release</w:t>
      </w:r>
      <w:r>
        <w:rPr>
          <w:rFonts w:ascii="Times New Roman;Times;Serif" w:hAnsi="Times New Roman;Times;Serif"/>
          <w:b w:val="false"/>
          <w:i w:val="false"/>
          <w:caps w:val="false"/>
          <w:smallCaps w:val="false"/>
          <w:sz w:val="20"/>
        </w:rPr>
        <w:t xml:space="preserve">”) that has become publicly available at least two Business Days prior to the redemption date or, in the case of a satisfaction, discharge or defeasance, at least two Business Days prior to the deposit of funds with the Trustee to pay and discharge the entire Indebtedness of the Notes (or, if such Statistical Release is no longer published, any publicly available source of similar market data)) most nearly equal to the period from the redemption date to August 15, 2029;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period from the redemption date to August 15, 2029, is less than one year, the weekly average yield on actually traded United States Treasury securities adjusted to a constant maturity of one year will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party named as such in the Preamble of this Indenture until a successor replaces it in accordance with the provisions of this Indenture and thereafter means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Undepreciated Real Estate Assets</w:t>
      </w:r>
      <w:r>
        <w:rPr>
          <w:rFonts w:ascii="Times New Roman;Times;Serif" w:hAnsi="Times New Roman;Times;Serif"/>
          <w:b w:val="false"/>
          <w:i w:val="false"/>
          <w:caps w:val="false"/>
          <w:smallCaps w:val="false"/>
          <w:sz w:val="20"/>
        </w:rPr>
        <w:t>” means, as of any date, the cost (being the original cost to Parent or the Restricted Subsidiaries plus capital improvements) of real estate assets of the Issuers and the Subsidiaries on such date, before depreciation and amortization of such real estate assets, determined on a consolidated basis in conformity with GAAP. Notwithstanding the foregoing sentence, the cost of any real estate assets consisting of a hotel and related or complimentary facilities (“</w:t>
      </w:r>
      <w:r>
        <w:rPr>
          <w:rFonts w:ascii="Times New Roman;Times;Serif" w:hAnsi="Times New Roman;Times;Serif"/>
          <w:b w:val="false"/>
          <w:i w:val="false"/>
          <w:caps w:val="false"/>
          <w:smallCaps w:val="false"/>
          <w:sz w:val="20"/>
          <w:u w:val="single"/>
        </w:rPr>
        <w:t>Hotel Facilities</w:t>
      </w:r>
      <w:r>
        <w:rPr>
          <w:rFonts w:ascii="Times New Roman;Times;Serif" w:hAnsi="Times New Roman;Times;Serif"/>
          <w:b w:val="false"/>
          <w:i w:val="false"/>
          <w:caps w:val="false"/>
          <w:smallCaps w:val="false"/>
          <w:sz w:val="20"/>
        </w:rPr>
        <w:t>”) shall be deemed to be the greater of (i) the amount determined in accordance with the preceding sentence with respect to such Hotel Facilities and (ii) the fair market value of such Hotel Facilities, as determined pursuant to an appraisal (the “</w:t>
      </w:r>
      <w:r>
        <w:rPr>
          <w:rFonts w:ascii="Times New Roman;Times;Serif" w:hAnsi="Times New Roman;Times;Serif"/>
          <w:b w:val="false"/>
          <w:i w:val="false"/>
          <w:caps w:val="false"/>
          <w:smallCaps w:val="false"/>
          <w:sz w:val="20"/>
          <w:u w:val="single"/>
        </w:rPr>
        <w:t>Appraisal</w:t>
      </w:r>
      <w:r>
        <w:rPr>
          <w:rFonts w:ascii="Times New Roman;Times;Serif" w:hAnsi="Times New Roman;Times;Serif"/>
          <w:b w:val="false"/>
          <w:i w:val="false"/>
          <w:caps w:val="false"/>
          <w:smallCaps w:val="false"/>
          <w:sz w:val="20"/>
        </w:rPr>
        <w:t>”) by an independent qualified real estate appraisal firm or a nationally recognized investment banking, appraisal or accounting firm and set forth in an Officer’s Certificate of Parent delivered to the Trustee no earlier than six months preceding the date of determination of Undepreciated Real Estate Assets. The Appraisal set forth in the Officer’s Certificate must be dated within two years of the date of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Subsidiary of the Issuers that at the time of determination shall be designated an Unrestricted Subsidiary by the Board of Directors of Parent in the manner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OEG Attractions Holdings, LLC, and each Subsidiary of OEG Attractions Holdings, LLC;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Subsidiary of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during a Suspension Period, the Board of Directors of Parent may designate any Restricted Subsidiary (including any newly acquired or newly formed Subsidiary of the Issuers) to be an Unrestricted Subsidiary unless such Subsidiary owns any Capital Stock of, or owns or holds any Lien on any property of, Parent or any of its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Guarantee by Parent or any of its Restricted Subsidiaries of any Indebtedness of the Subsidiary being so designated shall be deemed an “</w:t>
      </w:r>
      <w:r>
        <w:rPr>
          <w:rFonts w:ascii="Times New Roman;Times;Serif" w:hAnsi="Times New Roman;Times;Serif"/>
          <w:b w:val="false"/>
          <w:i w:val="false"/>
          <w:caps w:val="false"/>
          <w:smallCaps w:val="false"/>
          <w:sz w:val="20"/>
          <w:u w:val="single"/>
        </w:rPr>
        <w:t>Incurrence</w:t>
      </w:r>
      <w:r>
        <w:rPr>
          <w:rFonts w:ascii="Times New Roman;Times;Serif" w:hAnsi="Times New Roman;Times;Serif"/>
          <w:b w:val="false"/>
          <w:i w:val="false"/>
          <w:caps w:val="false"/>
          <w:smallCaps w:val="false"/>
          <w:sz w:val="20"/>
        </w:rPr>
        <w:t>” of such Indebtedness and an “Investment” by Parent or such Restricted Subsidiary (or all, if applicable) at the time of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either (i) the Subsidiary to be so designated has total assets of $1,000 or less or (ii) if such Subsidiary has assets greater than $1,000, such designation would be permitted under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applicable, the Incurrence of Indebtedness and the Investment referred to in clause (i) above would be permitted under Section 4.09 and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Parent may designate any Unrestricted Subsidiary to be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Default or Event of Default shall have occurred and be continuing at the time of or after giving effect to such designation;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all Indebtedness of such Unrestricted Subsidiary outstanding immediately after such designation would, if Incurred at such time, have been permitted to be Incurred (and shall be deemed to have been Incurred) for all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designation by the Board of Directors of Parent shall be evidenced to the Trustee by promptly filing with the Trustee a copy of the Board Resolution giving effect to such designation and an Officer’s Certificate certifying that such designation complied with the foregoing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Obligations</w:t>
      </w:r>
      <w:r>
        <w:rPr>
          <w:rFonts w:ascii="Times New Roman;Times;Serif" w:hAnsi="Times New Roman;Times;Serif"/>
          <w:b w:val="false"/>
          <w:i w:val="false"/>
          <w:caps w:val="false"/>
          <w:smallCaps w:val="false"/>
          <w:sz w:val="20"/>
        </w:rPr>
        <w:t>” means direct obligations of, obligations guaranteed by, or participations in pools consisting solely of obligations of or obligations guaranteed by, the United States of America for the payment of which obligations or guarantee the full faith and credit of the United States of America is pledged and that are not callable or redeemable at the option of the issuer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Legal Tender</w:t>
      </w:r>
      <w:r>
        <w:rPr>
          <w:rFonts w:ascii="Times New Roman;Times;Serif" w:hAnsi="Times New Roman;Times;Serif"/>
          <w:b w:val="false"/>
          <w:i w:val="false"/>
          <w:caps w:val="false"/>
          <w:smallCaps w:val="false"/>
          <w:sz w:val="20"/>
        </w:rPr>
        <w:t>” means such coin or currency of the United States of America that at the time of payment shall be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 Pub. L. 107-56, as amended and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means with respect to any Person, Capital Stock of any class or kind ordinarily having the power to vote for the election of directors, managers or other voting members of the governing body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w:t>
      </w:r>
      <w:r>
        <w:rPr>
          <w:rFonts w:ascii="Times New Roman;Times;Serif" w:hAnsi="Times New Roman;Times;Serif"/>
          <w:b w:val="false"/>
          <w:i w:val="false"/>
          <w:caps w:val="false"/>
          <w:smallCaps w:val="false"/>
          <w:sz w:val="20"/>
        </w:rPr>
        <w:t>” means, with respect to any Subsidiary of any Person, the ownership of all of the outstanding Capital Stock of such Subsidiary (other than any director’s qualifying shares or Investments by individuals mandated by applicable law) by such Person or one or more Wholly Owned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t>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755" w:type="dxa"/>
        <w:jc w:val="center"/>
        <w:tblInd w:w="0" w:type="dxa"/>
        <w:tblLayout w:type="fixed"/>
        <w:tblCellMar>
          <w:top w:w="0" w:type="dxa"/>
          <w:left w:w="0" w:type="dxa"/>
          <w:bottom w:w="0" w:type="dxa"/>
          <w:right w:w="0" w:type="dxa"/>
        </w:tblCellMar>
      </w:tblPr>
      <w:tblGrid>
        <w:gridCol w:w="4205"/>
        <w:gridCol w:w="1550"/>
      </w:tblGrid>
      <w:tr>
        <w:trPr/>
        <w:tc>
          <w:tcPr>
            <w:tcW w:w="420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Term</w:t>
            </w:r>
          </w:p>
        </w:tc>
        <w:tc>
          <w:tcPr>
            <w:tcW w:w="155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Defined in Section</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144A Global Notes”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Acceptable Commitment”</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4.11(c)</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Additional Notes”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Asset Sale Offer”</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4.11(d)</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Authentication Order”</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Change of Control Offer”</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4.07(a)</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Change of Control Payment”</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4.07(b)</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Change of Control Payment Date”</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4.07(b)</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Covenant Defeasance”</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8.02(c)</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Event of Default”</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6.01</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Excess Proceeds”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4.11(c)</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Finco”</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Global Notes”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Initial Global Notes”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 xml:space="preserve">Initial Notes”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Issuer” or “Issuers”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Legal Defeasance”</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8.02(b)</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Opco”</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Parent”</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Participants”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2.14(a)</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Paying Agent”</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Physical Notes”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purchase”</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4.09(a)(3)</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 xml:space="preserve">Refunding Capital Stock”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4.09(b)(4)</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Registrar”</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Regulation S Global Notes”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r>
      <w:tr>
        <w:trPr/>
        <w:tc>
          <w:tcPr>
            <w:tcW w:w="4205" w:type="dxa"/>
            <w:tcBorders/>
            <w:vAlign w:val="center"/>
          </w:tcPr>
          <w:p>
            <w:pPr>
              <w:pStyle w:val="TableContents"/>
              <w:bidi w:val="0"/>
              <w:spacing w:before="0" w:after="283"/>
              <w:jc w:val="left"/>
              <w:rPr/>
            </w:pPr>
            <w:r>
              <w:rPr/>
              <w:t>“</w:t>
            </w:r>
            <w:r>
              <w:rPr>
                <w:rFonts w:ascii="Times New Roman;Times;Serif" w:hAnsi="Times New Roman;Times;Serif"/>
                <w:sz w:val="20"/>
              </w:rPr>
              <w:t>Restricted Payments”</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4.09(a)(4)</w:t>
            </w:r>
          </w:p>
        </w:tc>
      </w:tr>
      <w:tr>
        <w:trPr/>
        <w:tc>
          <w:tcPr>
            <w:tcW w:w="4205" w:type="dxa"/>
            <w:tcBorders/>
            <w:vAlign w:val="center"/>
          </w:tcPr>
          <w:p>
            <w:pPr>
              <w:pStyle w:val="TableContents"/>
              <w:bidi w:val="0"/>
              <w:spacing w:before="0" w:after="283"/>
              <w:jc w:val="left"/>
              <w:rPr/>
            </w:pPr>
            <w:r>
              <w:rPr/>
              <w:t>“</w:t>
            </w:r>
            <w:r>
              <w:rPr/>
              <w:t>Reversion Date”</w:t>
            </w:r>
          </w:p>
        </w:tc>
        <w:tc>
          <w:tcPr>
            <w:tcW w:w="1550" w:type="dxa"/>
            <w:tcBorders/>
            <w:vAlign w:val="center"/>
          </w:tcPr>
          <w:p>
            <w:pPr>
              <w:pStyle w:val="TableContents"/>
              <w:bidi w:val="0"/>
              <w:spacing w:before="0" w:after="283"/>
              <w:jc w:val="left"/>
              <w:rPr/>
            </w:pPr>
            <w:r>
              <w:rPr/>
              <w:t>4.16</w:t>
            </w:r>
          </w:p>
        </w:tc>
      </w:tr>
      <w:tr>
        <w:trPr/>
        <w:tc>
          <w:tcPr>
            <w:tcW w:w="4205" w:type="dxa"/>
            <w:tcBorders/>
            <w:vAlign w:val="center"/>
          </w:tcPr>
          <w:p>
            <w:pPr>
              <w:pStyle w:val="TableContents"/>
              <w:bidi w:val="0"/>
              <w:spacing w:before="0" w:after="283"/>
              <w:jc w:val="left"/>
              <w:rPr/>
            </w:pPr>
            <w:r>
              <w:rPr/>
              <w:t>“</w:t>
            </w:r>
            <w:r>
              <w:rPr/>
              <w:t>Special Mandatory Redemption Date”</w:t>
            </w:r>
          </w:p>
        </w:tc>
        <w:tc>
          <w:tcPr>
            <w:tcW w:w="1550" w:type="dxa"/>
            <w:tcBorders/>
            <w:vAlign w:val="center"/>
          </w:tcPr>
          <w:p>
            <w:pPr>
              <w:pStyle w:val="TableContents"/>
              <w:bidi w:val="0"/>
              <w:spacing w:before="0" w:after="283"/>
              <w:jc w:val="left"/>
              <w:rPr/>
            </w:pPr>
            <w:r>
              <w:rPr/>
              <w:t>3.08(a)</w:t>
            </w:r>
          </w:p>
        </w:tc>
      </w:tr>
      <w:tr>
        <w:trPr/>
        <w:tc>
          <w:tcPr>
            <w:tcW w:w="4205" w:type="dxa"/>
            <w:tcBorders/>
            <w:vAlign w:val="center"/>
          </w:tcPr>
          <w:p>
            <w:pPr>
              <w:pStyle w:val="TableContents"/>
              <w:bidi w:val="0"/>
              <w:spacing w:before="0" w:after="283"/>
              <w:jc w:val="left"/>
              <w:rPr/>
            </w:pPr>
            <w:r>
              <w:rPr/>
              <w:t>“</w:t>
            </w:r>
            <w:r>
              <w:rPr/>
              <w:t>Special Mandatory Redemption End Date”</w:t>
            </w:r>
          </w:p>
        </w:tc>
        <w:tc>
          <w:tcPr>
            <w:tcW w:w="1550" w:type="dxa"/>
            <w:tcBorders/>
            <w:vAlign w:val="center"/>
          </w:tcPr>
          <w:p>
            <w:pPr>
              <w:pStyle w:val="TableContents"/>
              <w:bidi w:val="0"/>
              <w:spacing w:before="0" w:after="283"/>
              <w:jc w:val="left"/>
              <w:rPr/>
            </w:pPr>
            <w:r>
              <w:rPr/>
              <w:t>3.08(a)</w:t>
            </w:r>
          </w:p>
        </w:tc>
      </w:tr>
      <w:tr>
        <w:trPr/>
        <w:tc>
          <w:tcPr>
            <w:tcW w:w="4205" w:type="dxa"/>
            <w:tcBorders/>
            <w:vAlign w:val="center"/>
          </w:tcPr>
          <w:p>
            <w:pPr>
              <w:pStyle w:val="TableContents"/>
              <w:bidi w:val="0"/>
              <w:spacing w:before="0" w:after="283"/>
              <w:jc w:val="left"/>
              <w:rPr/>
            </w:pPr>
            <w:r>
              <w:rPr/>
              <w:t>“</w:t>
            </w:r>
            <w:r>
              <w:rPr/>
              <w:t>Special Mandatory Redemption Event”</w:t>
            </w:r>
          </w:p>
        </w:tc>
        <w:tc>
          <w:tcPr>
            <w:tcW w:w="1550" w:type="dxa"/>
            <w:tcBorders/>
            <w:vAlign w:val="center"/>
          </w:tcPr>
          <w:p>
            <w:pPr>
              <w:pStyle w:val="TableContents"/>
              <w:bidi w:val="0"/>
              <w:spacing w:before="0" w:after="283"/>
              <w:jc w:val="left"/>
              <w:rPr/>
            </w:pPr>
            <w:r>
              <w:rPr/>
              <w:t>3.08(a)</w:t>
            </w:r>
          </w:p>
        </w:tc>
      </w:tr>
      <w:tr>
        <w:trPr/>
        <w:tc>
          <w:tcPr>
            <w:tcW w:w="4205" w:type="dxa"/>
            <w:tcBorders/>
            <w:vAlign w:val="center"/>
          </w:tcPr>
          <w:p>
            <w:pPr>
              <w:pStyle w:val="TableContents"/>
              <w:bidi w:val="0"/>
              <w:spacing w:before="0" w:after="283"/>
              <w:jc w:val="left"/>
              <w:rPr/>
            </w:pPr>
            <w:r>
              <w:rPr/>
              <w:t>“</w:t>
            </w:r>
            <w:r>
              <w:rPr/>
              <w:t>Special Mandatory Redemption Price”</w:t>
            </w:r>
          </w:p>
        </w:tc>
        <w:tc>
          <w:tcPr>
            <w:tcW w:w="1550" w:type="dxa"/>
            <w:tcBorders/>
            <w:vAlign w:val="center"/>
          </w:tcPr>
          <w:p>
            <w:pPr>
              <w:pStyle w:val="TableContents"/>
              <w:bidi w:val="0"/>
              <w:spacing w:before="0" w:after="283"/>
              <w:jc w:val="left"/>
              <w:rPr/>
            </w:pPr>
            <w:r>
              <w:rPr/>
              <w:t>3.08(a)</w:t>
            </w:r>
          </w:p>
        </w:tc>
      </w:tr>
      <w:tr>
        <w:trPr/>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
              <w:t>“Suspended Covenant”</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r>
      <w:tr>
        <w:trPr/>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
              <w:t>“Suspension Period”</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t>     </w:t>
      </w:r>
      <w:r>
        <w:rPr>
          <w:rFonts w:ascii="Times New Roman;Times;Serif" w:hAnsi="Times New Roman;Times;Serif"/>
          <w:b w:val="false"/>
          <w:i w:val="false"/>
          <w:caps w:val="false"/>
          <w:smallCaps w:val="false"/>
          <w:sz w:val="20"/>
          <w:u w:val="single"/>
        </w:rPr>
        <w:t>Incorporation by Reference of Trust Indenture Act</w:t>
      </w:r>
      <w:r>
        <w:rPr>
          <w:rFonts w:ascii="Times New Roman;Times;Serif" w:hAnsi="Times New Roman;Times;Serif"/>
          <w:b w:val="false"/>
          <w:i w:val="false"/>
          <w:caps w:val="false"/>
          <w:smallCaps w:val="false"/>
          <w:sz w:val="20"/>
        </w:rPr>
        <w:t>. Whenever this Indenture refers to a provision of the Trust Indenture Act, such provision is incorporated by reference in, and made a part of, this Indenture. The following Trust Indenture Act terms used in this Indenture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securities</w:t>
      </w:r>
      <w:r>
        <w:rPr>
          <w:rFonts w:ascii="Times New Roman;Times;Serif" w:hAnsi="Times New Roman;Times;Serif"/>
          <w:b w:val="false"/>
          <w:i w:val="false"/>
          <w:caps w:val="false"/>
          <w:smallCaps w:val="false"/>
          <w:sz w:val="20"/>
        </w:rPr>
        <w:t>” means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on the indenture securities means the Issuers, any Guarantor or any other obligor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Trust Indenture Act terms used in this Indenture that are defined by the Trust Indenture Act, defined by Trust Indenture Act reference to another statute or defined by SEC rule and not otherwise defined herein have the meanings assigned to them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t>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words in the singular include the plural, and words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“herein,” “hereof”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words “including,” “includes” and similar words shall be deemed to be followed by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unsecured Indebtedness shall not be deemed to be subordinate or junior to secured Indebtedness merely by virtue of its nature as unsecured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secured Indebtedness shall not be deemed to be subordinate or junior to any other secured Indebtedness merely because it has a junior priority with respect to the same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any noninterest bearing or other discount security at any date shall be the principal amount thereof that would be shown on a balance sheet of the issuer dated such date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amount of any preferred stock that does not have a fixed redemption, repayment or repurchase price shall be the maximum liquidation value of such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references to the date the Notes were originally issued shall refer to the Issue Date, except as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references to the Issuers mean either the Issuers or the applicable Issuer, as the context requires, and references to an Issuer mean either such Issuer or the Issuers, as the context requires;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whenever in this Indenture there is mentioned, in any context, principal, interest or any other amount payable under or with respect to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tab/>
        <w:t>     </w:t>
      </w:r>
      <w:r>
        <w:rPr>
          <w:rFonts w:ascii="Times New Roman;Times;Serif" w:hAnsi="Times New Roman;Times;Serif"/>
          <w:b w:val="false"/>
          <w:i w:val="false"/>
          <w:caps w:val="false"/>
          <w:smallCaps w:val="false"/>
          <w:sz w:val="20"/>
          <w:u w:val="single"/>
        </w:rPr>
        <w:t>Certain Compliance Calculations</w:t>
      </w:r>
      <w:r>
        <w:rPr>
          <w:rFonts w:ascii="Times New Roman;Times;Serif" w:hAnsi="Times New Roman;Times;Serif"/>
          <w:b w:val="false"/>
          <w:i w:val="false"/>
          <w:caps w:val="false"/>
          <w:smallCaps w:val="false"/>
          <w:sz w:val="20"/>
        </w:rPr>
        <w:t>. Notwithstanding anything to the contrary herein, in the event an item of Indebtedness is incurred, assumed or issued or any Lien is incurred or assumed in reliance on a ratio basket based on the Interest Coverage Ratio or Section 4.08(a) or Section 4.08(b), such ratio(s) shall be calculated with respect to such incurrence, assumption, issuance or other transaction without giving effect to amounts being utilized under any other basket (other than a ratio basket based on the Interest Coverage Ratio or Section 4.08(a) or Section 4.08(b)) on the same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t>     </w:t>
      </w:r>
      <w:r>
        <w:rPr>
          <w:rFonts w:ascii="Times New Roman;Times;Serif" w:hAnsi="Times New Roman;Times;Serif"/>
          <w:b w:val="false"/>
          <w:i w:val="false"/>
          <w:caps w:val="false"/>
          <w:smallCaps w:val="false"/>
          <w:sz w:val="20"/>
          <w:u w:val="single"/>
        </w:rPr>
        <w:t>Form and Dating</w:t>
      </w:r>
      <w:r>
        <w:rPr>
          <w:rFonts w:ascii="Times New Roman;Times;Serif" w:hAnsi="Times New Roman;Times;Serif"/>
          <w:b w:val="false"/>
          <w:i w:val="false"/>
          <w:caps w:val="false"/>
          <w:smallCaps w:val="false"/>
          <w:sz w:val="20"/>
        </w:rPr>
        <w:t xml:space="preserve">. The Notes and the Trustee’s certificate of authentication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Notes may have notations, legends or endorsements required by law, stock exchange rule or usage. The Issuers shall approve the form of the Notes and any notation, legend or endorsement on them. Each Note shall be dated the date of its issuance and show the date of its authentication. Each Note shall have an executed Guaranty from each of the Guarantors existing on the date of authentication of such Note endorsed thereon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and each Guaranty shall constitute, and are hereby expressly made, a part of this Indenture and, to the extent applicable, the Issuers, the Guarantors and the Trustee, by their execution and delivery of this Indenture, expressly agree to such terms and provisions and to be bound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offered and sold in reliance on Rule 144A shall be issued initially in the form of one or more permanent global Notes in registered form, substantially in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144A Global Notes</w:t>
      </w:r>
      <w:r>
        <w:rPr>
          <w:rFonts w:ascii="Times New Roman;Times;Serif" w:hAnsi="Times New Roman;Times;Serif"/>
          <w:b w:val="false"/>
          <w:i w:val="false"/>
          <w:caps w:val="false"/>
          <w:smallCaps w:val="false"/>
          <w:sz w:val="20"/>
        </w:rPr>
        <w:t xml:space="preserve">”), deposited with the Trustee, as custodian for the Depository, duly executed by the Issuers (and having an executed Guaranty from each of the Guarantors endorsed thereon) and authenticated by the Trustee as hereinafter provided and shall bear the legends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offered and sold in offshore transactions in reliance on Regulation S shall be issued initially in the form of one or more permanent global Notes in registered form,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Regulation S Global Notes</w:t>
      </w:r>
      <w:r>
        <w:rPr>
          <w:rFonts w:ascii="Times New Roman;Times;Serif" w:hAnsi="Times New Roman;Times;Serif"/>
          <w:b w:val="false"/>
          <w:i w:val="false"/>
          <w:caps w:val="false"/>
          <w:smallCaps w:val="false"/>
          <w:sz w:val="20"/>
        </w:rPr>
        <w:t>” and, together with the 144A Global Notes, the “</w:t>
      </w:r>
      <w:r>
        <w:rPr>
          <w:rFonts w:ascii="Times New Roman;Times;Serif" w:hAnsi="Times New Roman;Times;Serif"/>
          <w:b w:val="false"/>
          <w:i w:val="false"/>
          <w:caps w:val="false"/>
          <w:smallCaps w:val="false"/>
          <w:sz w:val="20"/>
          <w:u w:val="single"/>
        </w:rPr>
        <w:t>Initial Global Notes</w:t>
      </w:r>
      <w:r>
        <w:rPr>
          <w:rFonts w:ascii="Times New Roman;Times;Serif" w:hAnsi="Times New Roman;Times;Serif"/>
          <w:b w:val="false"/>
          <w:i w:val="false"/>
          <w:caps w:val="false"/>
          <w:smallCaps w:val="false"/>
          <w:sz w:val="20"/>
        </w:rPr>
        <w:t xml:space="preserve">”), deposited with the Trustee, as custodian for the Depository, duly executed by the Issuers (and having an executed Guaranty from each of the Guarantors endorsed thereon) and authenticated by the Trustee as hereinafter provided and shall bear the legends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issued after the Issue Date shall be issued initially in the form of one or more global Notes in registered form, substantially in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deposited with the Trustee, as custodian for the Depository, duly executed by the Issuers (and having an executed Guaranty from each of the Guarantors endorsed thereon) and authenticated by the Trustee as hereinafter provided and shall bear any legends required by applicable law (together with the Initial Global Notes, the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or as Physical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principal amount of the Global Notes may from time to time be increased or decreased by adjustments made on the records of the Trustee, as custodian for the Depository, as hereinafter provided. Notes issued in exchange for interests in a Global Note pursuant to </w:t>
      </w:r>
      <w:r>
        <w:rPr>
          <w:rFonts w:ascii="Times New Roman;Times;Serif" w:hAnsi="Times New Roman;Times;Serif"/>
          <w:b w:val="false"/>
          <w:i w:val="false"/>
          <w:caps w:val="false"/>
          <w:smallCaps w:val="false"/>
          <w:sz w:val="20"/>
          <w:u w:val="single"/>
        </w:rPr>
        <w:t xml:space="preserve">Section 2.15 </w:t>
      </w:r>
      <w:r>
        <w:rPr>
          <w:rFonts w:ascii="Times New Roman;Times;Serif" w:hAnsi="Times New Roman;Times;Serif"/>
          <w:b w:val="false"/>
          <w:i w:val="false"/>
          <w:caps w:val="false"/>
          <w:smallCaps w:val="false"/>
          <w:sz w:val="20"/>
        </w:rPr>
        <w:t xml:space="preserve">may be issued in the form of permanent certificated Notes in registered form in substantially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bearing the applicable legends, if any (the “</w:t>
      </w:r>
      <w:r>
        <w:rPr>
          <w:rFonts w:ascii="Times New Roman;Times;Serif" w:hAnsi="Times New Roman;Times;Serif"/>
          <w:b w:val="false"/>
          <w:i w:val="false"/>
          <w:caps w:val="false"/>
          <w:smallCaps w:val="false"/>
          <w:sz w:val="20"/>
          <w:u w:val="single"/>
        </w:rPr>
        <w:t>Physical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Notes ranking pari passu with the Initial Notes (as defined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may be created and issued from time to time by the Issuers without notice to or consent of the Holders and shall be consolidated with and form a single class with the Initial Notes and shall have the same terms as to status, redemption or otherwise (other than with respect to the purchase price thereof and the date from which the interest accrues) as the Initial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Issuers’ ability to issue Additional Notes shall be subject to the Issuers’ compliance with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The Initial Notes and any Additional Notes subsequently issued under this Indenture will be treated as a single class for all purposes under this Indenture, including waivers, amendments, redemptions and offers to purchase, and shall vote together as one class on all matters with respect to the Notes;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the Additional Notes are not fungible with the Notes for U.S. Federal income tax purposes the Additional Notes will have a separate CUSIP number, if applicable. Unless the context requires otherwise, references to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for all purposes of this Indenture include any Additional Notes that are actually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t>     </w:t>
      </w:r>
      <w:r>
        <w:rPr>
          <w:rFonts w:ascii="Times New Roman;Times;Serif" w:hAnsi="Times New Roman;Times;Serif"/>
          <w:b w:val="false"/>
          <w:i w:val="false"/>
          <w:caps w:val="false"/>
          <w:smallCaps w:val="false"/>
          <w:sz w:val="20"/>
          <w:u w:val="single"/>
        </w:rPr>
        <w:t>Execution, Authentication and Denomination; Additional Notes</w:t>
      </w:r>
      <w:r>
        <w:rPr>
          <w:rFonts w:ascii="Times New Roman;Times;Serif" w:hAnsi="Times New Roman;Times;Serif"/>
          <w:b w:val="false"/>
          <w:i w:val="false"/>
          <w:caps w:val="false"/>
          <w:smallCaps w:val="false"/>
          <w:sz w:val="20"/>
        </w:rPr>
        <w:t>. One Officer of each of the Issuers (who shall have been duly authorized by all requisite corporate actions) shall sign the Notes for each Issuer by manual, facsimile, pdf attachment or other electronically transmitted signature. One Officer of each Guarantor (who shall have been duly authorized by all requisite corporate actions) shall sign the Guaranty for such Guarantor by manual, facsimile, pdf attachment or other electronically transmitted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or Guaranty, as the case may be, was an Officer at the time of such execution but no longer holds that office at the time the Trustee authenticates the Note, the Note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(and each Guaranty in respect thereof) shall not be valid until an authorized signatory of the Trustee manually signs the certificate of authentication on the Note. The signature shall be conclusive evidence that the Note has been authenticated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authenticate (i) on the Issue Date, Notes for original issue in the aggregate principal amount of $700,000,000 (the “</w:t>
      </w:r>
      <w:r>
        <w:rPr>
          <w:rFonts w:ascii="Times New Roman;Times;Serif" w:hAnsi="Times New Roman;Times;Serif"/>
          <w:b w:val="false"/>
          <w:i w:val="false"/>
          <w:caps w:val="false"/>
          <w:smallCaps w:val="false"/>
          <w:sz w:val="20"/>
          <w:u w:val="single"/>
        </w:rPr>
        <w:t>Initial Notes</w:t>
      </w:r>
      <w:r>
        <w:rPr>
          <w:rFonts w:ascii="Times New Roman;Times;Serif" w:hAnsi="Times New Roman;Times;Serif"/>
          <w:b w:val="false"/>
          <w:i w:val="false"/>
          <w:caps w:val="false"/>
          <w:smallCaps w:val="false"/>
          <w:sz w:val="20"/>
        </w:rPr>
        <w:t>”) and (ii) additional Notes (the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xml:space="preserve">”) in an unlimited amount (so long as not otherwise prohibited by the terms of this Indenture, including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in each case upon a written order of the Issuers in the form of a certificate of an Officer of each Issuer (an “</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Each such Authentication Order shall specify the amount of Notes to be authenticated and the date on which the Notes are to be authenticated, whether the Notes are to be Initial Notes or Additional Notes and whether the Notes are to be issued as certificated Notes or Global Notes or such other information as the Trustee may reasonably request. In addition, with respect to authentication pursuant to clause (ii) of the first sentence of this paragraph, each such Authentication Order from the Issuers shall be accompanied by an Opinion of Counsel of the Issuers in a form reasonably satisfactory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under this Indenture shall be treated as a single class for all purposes under this Indenture. The Additional Notes shall bear any legend required by applicable law and such other legends as may be required under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reasonably acceptable to the Issuers to authenticate Notes. Unless otherwise provided in the appointment, an authenticating agent may authenticate Notes whenever the Trustee may do so. Each reference in this Indenture to authentication by the Trustee includes authentication by such agent. An authenticating agent has the same rights as an Agent to deal with the Issuers and Affiliates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issuable only in registered form without coupons in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t>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 The Issuers shall maintain or cause to be maintained an office or agency in the United States of America where (a) Notes may be presented or surrendered for registration of transfer or for exchange (“</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(b) Notes may, subject to Section 2 of the Notes, be presented or surrendered for payment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The Issuers may also from time to time designate one or more other offices or agencies where the Notes may be presented or surrendered for any or all such purposes and may from time to time rescind such designations;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designation or rescission shall in any manner relieve the Issuers of their obligation to maintain or cause to be maintained an office or agency in the United States of America, for such purposes. The Issuers may act as Registrar or Paying Agent, except that for the purposes of </w:t>
      </w:r>
      <w:r>
        <w:rPr>
          <w:rFonts w:ascii="Times New Roman;Times;Serif" w:hAnsi="Times New Roman;Times;Serif"/>
          <w:b w:val="false"/>
          <w:i w:val="false"/>
          <w:caps w:val="false"/>
          <w:smallCaps w:val="false"/>
          <w:sz w:val="20"/>
          <w:u w:val="single"/>
        </w:rPr>
        <w:t>Articles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4.07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neither the Issuers nor any Affiliate of the Issuers shall act as Paying Agent. The Registrar, as an agent of the Issuers, shall keep a register, including ownership, of the Notes and of their transfer and exchange. The Issuers, upon notice to the Trustee, may have one or more co-registrars and one or more additional paying agents reasonably acceptable to the Trustee. The term “Registrar” includes any co-registrar and the term “Paying Agent” includes any additional paying agent. The Issuers initially appoint the Trustee as Registrar and Paying Agent until such time as the Trustee has resigned or a successor has been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shall enter into an appropriate agency agreement with any Agent not a party to this Indenture, which agreement shall implement the provisions of this Indenture that relate to such Agent. The Issuers shall notify the Trustee, in advance, of the name and address of any such Agent. If the Issuers fail to maintain a Registrar or Paying Agent, the Trustee shall act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t>     </w:t>
      </w:r>
      <w:r>
        <w:rPr>
          <w:rFonts w:ascii="Times New Roman;Times;Serif" w:hAnsi="Times New Roman;Times;Serif"/>
          <w:b w:val="false"/>
          <w:i w:val="false"/>
          <w:caps w:val="false"/>
          <w:smallCaps w:val="false"/>
          <w:sz w:val="20"/>
          <w:u w:val="single"/>
        </w:rPr>
        <w:t>Paying Agent To Hold Assets in Trust</w:t>
      </w:r>
      <w:r>
        <w:rPr>
          <w:rFonts w:ascii="Times New Roman;Times;Serif" w:hAnsi="Times New Roman;Times;Serif"/>
          <w:b w:val="false"/>
          <w:i w:val="false"/>
          <w:caps w:val="false"/>
          <w:smallCaps w:val="false"/>
          <w:sz w:val="20"/>
        </w:rPr>
        <w:t>. The Issuers shall require each Paying Agent other than the Trustee or the Issuers or any Subsidiary of the Issuers to agree in writing that each Paying Agent shall hold in trust for the benefit of Holders or the Trustee all assets held by the Paying Agent for the payment of principal of, or interest on, the Notes (whether such assets have been distributed to it by the Issuers or any other obligor on the Notes), and shall notify the Trustee of any Default by the Issuers (or any other obligor on the Notes) in making any such payment. The Issuers at any time may require a Paying Agent to distribute all assets held by it to the Trustee and account for any assets disbursed and the Trustee may at any time during the continuance of any payment Default, upon written request to a Paying Agent, require such Paying Agent to distribute all assets held by it to the Trustee and to account for any assets distributed. Upon distribution to the Trustee of all assets that shall have been delivered by the Issuers to the Paying Agent, the Paying Agent shall have no further liability for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t>     </w:t>
      </w:r>
      <w:r>
        <w:rPr>
          <w:rFonts w:ascii="Times New Roman;Times;Serif" w:hAnsi="Times New Roman;Times;Serif"/>
          <w:b w:val="false"/>
          <w:i w:val="false"/>
          <w:caps w:val="false"/>
          <w:smallCaps w:val="false"/>
          <w:sz w:val="20"/>
          <w:u w:val="single"/>
        </w:rPr>
        <w:t>Holder Lists</w:t>
      </w:r>
      <w:r>
        <w:rPr>
          <w:rFonts w:ascii="Times New Roman;Times;Serif" w:hAnsi="Times New Roman;Times;Serif"/>
          <w:b w:val="false"/>
          <w:i w:val="false"/>
          <w:caps w:val="false"/>
          <w:smallCaps w:val="false"/>
          <w:sz w:val="20"/>
        </w:rPr>
        <w:t>. The Trustee shall preserve in as current a form as is reasonably practicable the most recent list available to it of the names and addresses of Holders. If the Trustee is not the Registrar, the Issuers shall furnish to the Trustee at least two Business Days prior to each Interest Payment Date and at such other times as the Trustee may request in writing a list, in such form and as of such date as the Trustee may reasonably require, of the names and addresses of Holders, which list may be conclusively relied upon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t>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when Notes are presented to the Registrar with a request to register the transfer of such Notes or to exchange such Notes for an equal principal amount of Notes of other authorized denominations, the Registrar shall register the transfer or make the exchange as requested if its requirements for such transaction are met;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Notes surrendered for transfer or exchange shall be duly endorsed or accompanied by a written instrument of transfer in form satisfactory to the Issuers and the Registrar, duly executed by the Holder thereof or his or her attorney duly authorized in writing. To permit registrations of transfers and exchanges, the Issuers shall execute and the Trustee shall authenticate Notes at the Registrar’s request. No service charge shall be made for any registration of transfer or exchange, but the Issuers may require payment of a sum sufficient to cover any transfer tax or similar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prior written consent of the Issuers, the Registrar shall not be required to register the transfer of or exchange of any Note (i) during a period beginning at the opening of business 15 days before the giving of a notice of redemption of Notes and ending at the close of business on the day of such notice, (ii) selected for redemption in whole or in part pursuant to Article III, except the unredeemed portion of any Note being redeemed in part and (iii) beginning at the opening of business on any Record Date and ending on the close of business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of a beneficial interest in a Global Note shall, by acceptance of such beneficial interest, agree that transfers of beneficial interests in such Global Notes may be effected only through a book-entry system maintained by the Holder of such Global Note (or its agent) in accordance with the applicable legends thereon, and that ownership of a beneficial interest in the Note shall be required to be reflected in a book-entry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t>     </w:t>
      </w:r>
      <w:r>
        <w:rPr>
          <w:rFonts w:ascii="Times New Roman;Times;Serif" w:hAnsi="Times New Roman;Times;Serif"/>
          <w:b w:val="false"/>
          <w:i w:val="false"/>
          <w:caps w:val="false"/>
          <w:smallCaps w:val="false"/>
          <w:sz w:val="20"/>
          <w:u w:val="single"/>
        </w:rPr>
        <w:t>Replacement Notes</w:t>
      </w:r>
      <w:r>
        <w:rPr>
          <w:rFonts w:ascii="Times New Roman;Times;Serif" w:hAnsi="Times New Roman;Times;Serif"/>
          <w:b w:val="false"/>
          <w:i w:val="false"/>
          <w:caps w:val="false"/>
          <w:smallCaps w:val="false"/>
          <w:sz w:val="20"/>
        </w:rPr>
        <w:t>. If a mutilated Note is surrendered to the Trustee or if the Holder of a Note claims that the Note has been lost, destroyed or wrongfully taken, the Issuers shall issue and the Trustee shall authenticate, upon receipt of an Authentication Order, a replacement Note if the Trustee’s and Issuers’ requirements are met. Such Holder shall provide an indemnity bond or other indemnity, sufficient in the judgment of both the Issuers and the Trustee, to protect the Issuers, the Trustee or any Agent from any loss that any of them may suffer if a Note is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an additional obligation of the Issuers and every replacement Guaranty shall constitute an additional obligation of the Guarantor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are exclusive and shall preclude (to the extent lawful) all other rights and remedies with respect to the replacement or payment of lost, destroyed or wrongfully taken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t>     </w:t>
      </w:r>
      <w:r>
        <w:rPr>
          <w:rFonts w:ascii="Times New Roman;Times;Serif" w:hAnsi="Times New Roman;Times;Serif"/>
          <w:b w:val="false"/>
          <w:i w:val="false"/>
          <w:caps w:val="false"/>
          <w:smallCaps w:val="false"/>
          <w:sz w:val="20"/>
          <w:u w:val="single"/>
        </w:rPr>
        <w:t>Outstanding Notes</w:t>
      </w:r>
      <w:r>
        <w:rPr>
          <w:rFonts w:ascii="Times New Roman;Times;Serif" w:hAnsi="Times New Roman;Times;Serif"/>
          <w:b w:val="false"/>
          <w:i w:val="false"/>
          <w:caps w:val="false"/>
          <w:smallCaps w:val="false"/>
          <w:sz w:val="20"/>
        </w:rPr>
        <w:t xml:space="preserve">. Notes outstanding at any time are all the Notes that have been authenticated by the Trustee except those cancelled by it, those delivered to it for cancellation and those described in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as not outstanding. A Note does not cease to be outstanding because the Issuers, the Guarantors or any of their respective Affiliates hold the Note (subject to the provisions of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Note is replaced pursuant to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(other than a mutilated Note surrendered for replacement), it ceases to be outstanding unless a Responsible Officer of the Trustee receives proof satisfactory to it that the replaced Note is held by a bona fide purchaser. A mutilated Note ceases to be outstanding upon surrender of such Note and replacement thereof pursuant to Section 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principal amount of any Note is considered paid under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it ceases to be outstanding and interest ceases to accrue. If on a Redemption Date or the Stated Maturity the Trustee or Paying Agent (other than the Issuers or an Affiliate thereof) holds U.S. Legal Tender or U.S. Government Obligations sufficient to pay all of the principal and interest due on the Notes payable on that date, then on and after that date such Notes cease to be outstanding and interest on them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t>     </w:t>
      </w:r>
      <w:r>
        <w:rPr>
          <w:rFonts w:ascii="Times New Roman;Times;Serif" w:hAnsi="Times New Roman;Times;Serif"/>
          <w:b w:val="false"/>
          <w:i w:val="false"/>
          <w:caps w:val="false"/>
          <w:smallCaps w:val="false"/>
          <w:sz w:val="20"/>
          <w:u w:val="single"/>
        </w:rPr>
        <w:t>Treasury Notes</w:t>
      </w:r>
      <w:r>
        <w:rPr>
          <w:rFonts w:ascii="Times New Roman;Times;Serif" w:hAnsi="Times New Roman;Times;Serif"/>
          <w:b w:val="false"/>
          <w:i w:val="false"/>
          <w:caps w:val="false"/>
          <w:smallCaps w:val="false"/>
          <w:sz w:val="20"/>
        </w:rPr>
        <w:t>. In determining whether the Holders of the required principal amount of Notes have concurred in any direction, waiver or consent, Notes owned by the Issuers or any of their Affiliates shall be disregarded as required by the Trust Indenture Act, except that, for the purposes of determining whether the Trustee shall be protected in relying on any such direction, waiver or consent, only Notes that a Responsible Officer of the Trustee, actually knows are so owned shall be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Issuers or any obligor upon the Notes or any Affiliate of the Issuers or of such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t>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Until definitive Notes are ready for delivery, the Issuers may prepare and the Trustee shall authenticate temporary Notes. Temporary Notes shall be substantially in the form of definitive Notes but may have variations that the Issuers consider appropriate for temporary Notes. Without unreasonable delay, the Issuers shall prepare and the Trustee shall authenticate definitive Notes in exchange for temporary Notes. Until such exchange, temporary Notes shall be entitled to the same rights, benefits and privileges as definitive Notes. Notwithstanding the foregoing, so long as the Notes are represented by a Global Note, such Global Note may be in typewritten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tab/>
        <w:t>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The Issuers at any time may deliver Notes to the Trustee for cancellation. The Registrar and the Paying Agent shall forward to the Trustee any Notes surrendered to them for transfer, exchange or payment. The Trustee, or at the direction of the Trustee, the Registrar or the Paying Agent (other than the Issuers or a Subsidiary of the Issuers), and no one else, shall cancel and, at the written direction of the Issuers, shall dispose of all Notes surrendered for transfer, exchange, payment or cancellation in accordance with its customary procedures. Subject to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the Issuers may not issue new Notes to replace Notes that they have paid or delivered to the Trustee for cancellation. If the Issuers or any Guarantor shall acquire any of the Notes, such acquisition shall not operate as a redemption or satisfaction of the Indebtedness represented by such Notes unless and until the same are surrendered to the Trustee for cancellation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tab/>
        <w:t>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If the Issuers default in a payment of interest on the Notes, they shall pay the defaulted interest, plus (to the extent lawful) any interest payable on the defaulted interest, in any lawful manner. The Issuers may pay the defaulted interest to the persons who are Holders on a subsequent special record date, which date shall be the 15th day next preceding the date fixed by the Issuers for the payment of defaulted interest or the next succeeding Business Day if such date is not a Business Day. At least 15 days before any such subsequent special record date, the Issuers shall mail (or otherwise deliver in accordance with the procedures of the Depository) to each Holder, with a copy to the Trustee, a notice that states the subsequent special record date, the payment date and the amount of defaulted interest, and interest payable on such defaulted interest, if any,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tab/>
        <w:t>     </w:t>
      </w:r>
      <w:r>
        <w:rPr>
          <w:rFonts w:ascii="Times New Roman;Times;Serif" w:hAnsi="Times New Roman;Times;Serif"/>
          <w:b w:val="false"/>
          <w:i w:val="false"/>
          <w:caps w:val="false"/>
          <w:smallCaps w:val="false"/>
          <w:sz w:val="20"/>
          <w:u w:val="single"/>
        </w:rPr>
        <w:t>CUSIP and ISIN Numbers</w:t>
      </w:r>
      <w:r>
        <w:rPr>
          <w:rFonts w:ascii="Times New Roman;Times;Serif" w:hAnsi="Times New Roman;Times;Serif"/>
          <w:b w:val="false"/>
          <w:i w:val="false"/>
          <w:caps w:val="false"/>
          <w:smallCaps w:val="false"/>
          <w:sz w:val="20"/>
        </w:rPr>
        <w:t xml:space="preserve">. The Issuers in issuing the Notes may use “CUSIP” or “ISIN” numbers, and if so, the Trustee shall use the “CUSIP” or “ISIN” numbers in notices of redemption or exchange as a convenience to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notice may state that no representation is made as to the correctness or accuracy of the “CUSIP” or “ISIN” numbers printed in the notice or on the Notes, and that reliance may be placed only on the other identification numbers printed on the Notes. The Issuers shall promptly notify the Trustee of any change in the “CUSIP” or “ISIN”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tab/>
        <w:t>     </w:t>
      </w:r>
      <w:r>
        <w:rPr>
          <w:rFonts w:ascii="Times New Roman;Times;Serif" w:hAnsi="Times New Roman;Times;Serif"/>
          <w:b w:val="false"/>
          <w:i w:val="false"/>
          <w:caps w:val="false"/>
          <w:smallCaps w:val="false"/>
          <w:sz w:val="20"/>
          <w:u w:val="single"/>
        </w:rPr>
        <w:t>Book-Entry Provisions for 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Global Notes initially shall (i) be registered in the name of the Depository or the nominee of such Depository, (ii) be delivered to the Trustee as custodian for such Depository and (iii) bear legends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or participants in, the Depository (“</w:t>
      </w:r>
      <w:r>
        <w:rPr>
          <w:rFonts w:ascii="Times New Roman;Times;Serif" w:hAnsi="Times New Roman;Times;Serif"/>
          <w:b w:val="false"/>
          <w:i w:val="false"/>
          <w:caps w:val="false"/>
          <w:smallCaps w:val="false"/>
          <w:sz w:val="20"/>
          <w:u w:val="single"/>
        </w:rPr>
        <w:t>Participants</w:t>
      </w:r>
      <w:r>
        <w:rPr>
          <w:rFonts w:ascii="Times New Roman;Times;Serif" w:hAnsi="Times New Roman;Times;Serif"/>
          <w:b w:val="false"/>
          <w:i w:val="false"/>
          <w:caps w:val="false"/>
          <w:smallCaps w:val="false"/>
          <w:sz w:val="20"/>
        </w:rPr>
        <w:t>”) shall have no rights under this Indenture with respect to any Global Note held on their behalf by the Depository, or the Trustee as its custodian, or under the Global Note, and the Depository may be treated by the Issuers, the Trustee and any agent of the Issuers or the Trustee as the absolute owner of the Global Note for all purposes whatsoever. Notwithstanding the foregoing, nothing herein shall prevent the Issuers, the Trustee or any agent of the Issuers or the Trustee from giving effect to any written certification, proxy or other authorization furnished by the Depository or impair, as between the Depository and Participants, the operation of customary practices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Transfers of Global Notes shall be limited to transfers in whole, but not in part, to the Depository, its successors or their respective nominees. Interests of beneficial owners in the Global Notes may be transferred or exchanged for Physical Notes in accordance with the rules and procedures of the Depository and the provisions of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In addition, Physical Notes shall be transferred to all beneficial owners in exchange for their beneficial interests in Global Notes if (i) the Depository notifies the Issuers that it is unwilling or unable to act as Depository for any Global Note, the Issuers so notify the Trustee in writing and a successor Depository is not appointed by the Issuers within 90 days of such notice or (ii) an Event of Default has occurred and is continuing and the Registrar has received a written request from any owner of a beneficial interest in a Global Note to issue Physical Notes. Upon any issuance of a Physical Note in accordance with this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the Trustee is required to register such Physical Note in the name of, and cause the same to be delivered to, such person or persons (or the nominee of any thereof). All such Physical Notes shall bear the applicable legends,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any transfer or exchange of a portion of the beneficial interest in a Global Note to beneficial owners pursuant to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the Registrar shall (if one or more Physical Notes are to be issued) reflect on its books and records the date and a decrease in the principal amount of such Global Note in an amount equal to the principal amount of the beneficial interest in the Global Note to be transferred, and the Issuers shall execute, and the Trustee shall authenticate and deliver, one or more Physical Notes of authorized denominations in an aggregate principal amount equal to the principal amount of the beneficial interest in the Global Note so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connection with the transfer of a Global Note as an entirety to beneficial owners pursuant to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such Global Note shall be deemed to be surrendered to the Trustee for cancellation, and (i) the Issuers shall execute, (ii) the Guarantors shall execute notations of each Guaranty on and (iii) the Trustee shall, upon written instructions from the Issuers, authenticate and deliver, to each beneficial owner identified by the Depository in exchange for its beneficial interest in such Global Note, an equal aggregate principal amount of Physical Notes of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Physical Note constituting a Restricted Security delivered in exchange for an interest in a Global Note pursuant to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except as otherwise provided by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Holder of any Global Note may grant proxies and otherwise authorize any Person, including Participants and Persons that may hold interests through Participants, to take any action which a Holder is entitled to take under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tab/>
        <w:t>     </w:t>
      </w:r>
      <w:r>
        <w:rPr>
          <w:rFonts w:ascii="Times New Roman;Times;Serif" w:hAnsi="Times New Roman;Times;Serif"/>
          <w:b w:val="false"/>
          <w:i w:val="false"/>
          <w:caps w:val="false"/>
          <w:smallCaps w:val="false"/>
          <w:sz w:val="20"/>
          <w:u w:val="single"/>
        </w:rPr>
        <w:t>Special Transfer and Exchange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Transfers to QIBs</w:t>
      </w:r>
      <w:r>
        <w:rPr>
          <w:rFonts w:ascii="Times New Roman;Times;Serif" w:hAnsi="Times New Roman;Times;Serif"/>
          <w:b w:val="false"/>
          <w:i w:val="false"/>
          <w:caps w:val="false"/>
          <w:smallCaps w:val="false"/>
          <w:sz w:val="20"/>
        </w:rPr>
        <w:t>. The following provisions shall apply with respect to the registration of any proposed transfer of a Restricted Security to a QIB: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Registrar shall register the transfer of any Restricted Security, whether or not such Note bears the Private Placement Legend, if such transfer is being made by a proposed transferor who has checked the box provided for on the applicable Global Note stating that the sale has been made in compliance with the provisions of Rule 144A to a transferee who has signed the certification provided for on the applicable Global Note stating that it is purchasing the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Issuers as it has requested pursuant to Rule 144A or has determined not to request such information and that it is aware that the transferor is relying upon its foregoing representations in order to claim the exemption from registration provided by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proposed transferee is a Participant and the Notes to be transferred consist of Physical Notes which after transfer are to be evidenced by an interest in the 144A Global Notes, upon receipt by the Registrar of the Physical Note and written instructions given in accordance with the Depository’s and the Registrar’s procedures, the Registrar shall register the transfer and reflect on its book and records the date and an increase in the principal amount of the 144A Global Notes in an amount equal to the principal amount of Physical Notes to be transferred, and the Registrar shall cancel the Physical Notes so transferred;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proposed transferor is a Participant seeking to transfer an interest in the Regulation S Global Notes, upon receipt by the Registrar of written instructions given in accordance with the Depository’s and the Registrar’s procedures, the Registrar shall register the transfer and reflect on its books and records the date and (A) a decrease in the principal amount of the Regulation S Global Notes in an amount equal to the principal amount of the Notes to be transferred and (B) an increase in the principal amount of the 144A Global Notes in an amount equal to the principal amount of the Notes to be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Transfers to Non-U.S. Persons</w:t>
      </w:r>
      <w:r>
        <w:rPr>
          <w:rFonts w:ascii="Times New Roman;Times;Serif" w:hAnsi="Times New Roman;Times;Serif"/>
          <w:b w:val="false"/>
          <w:i w:val="false"/>
          <w:caps w:val="false"/>
          <w:smallCaps w:val="false"/>
          <w:sz w:val="20"/>
        </w:rPr>
        <w:t>. The following provisions shall apply with respect to any transfer of a Restricted Security to a Non-U.S. Person under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Registrar shall register any proposed transfer of a Restricted Security to a Non-U.S. Person upon receipt of a certificate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from the proposed transferor and such certifications, legal opinions and other information as the Trustee or the Issuers may reasonably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if the proposed transferor is a Participant holding a beneficial interest in the 144A Global Notes or the Note to be transferred consists of Physical Notes, upon receipt by the Registrar of (x) the documents required by paragraph (i) and (y) instructions in accordance with the Depository’s and the Registrar’s procedures, the Registrar shall reflect on its books and records the date and a decrease in the principal amount of the 144A Global Notes in an amount equal to the principal amount of the beneficial interest in the 144A Global Notes to be transferred or cancel the Physical Notes to be transferred and (b) if the proposed transferee is a Participant, upon receipt by the Registrar of instructions given in accordance with the Depository’s and the Registrar’s procedures, the Registrar shall reflect on its books and records the date and an increase in the principal amount of the Regulation S Global Notes in an amount equal to the principal amount of the 144A Global Notes or the Physical Notes, as the case may be, to be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Restrictions on Transfer and Exchange of Global Notes</w:t>
      </w:r>
      <w:r>
        <w:rPr>
          <w:rFonts w:ascii="Times New Roman;Times;Serif" w:hAnsi="Times New Roman;Times;Serif"/>
          <w:b w:val="false"/>
          <w:i w:val="false"/>
          <w:caps w:val="false"/>
          <w:smallCaps w:val="false"/>
          <w:sz w:val="20"/>
        </w:rPr>
        <w:t>. Notwithstanding any other provisions of this Indenture, a Global Note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Upon the transfer, exchange or replacement of Notes not bearing the Private Placement Legend unless otherwise required by applicable law, the Registrar shall deliver Notes that do not bear the Private Placement Legend. Upon the transfer, exchange or replacement of Notes bearing the Private Placement Legend, the Registrar shall deliver only Notes that bear the Private Placement Legend unless (i) there is delivered to the Trustee an Opinion of Counsel reasonably satisfactory to the Issuers and the Trustee to the effect that neither such legend nor the related restrictions on transfer are required in order to maintain compliance with the provisions of the Securities Act or (ii) such Note has been offered and sold pursuant to an effective registration statement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By its acceptance of any Note bearing the Private Placement Legend, each Holder of such a Note acknowledges the restrictions on transfer of such Note set forth in this Indenture and in the Private Placement Legend and agrees that it shall transfer such Note only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retain copies of all letters, notices and other written communications received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The Issuers shall have the right to inspect and make copies of all such letters, notices or other written communications at any reasonable time upon the giving of reasonable written notice to the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responsibility for the actions or omissions of the Depository, or the accuracy of the books and records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Cancellation and/or Adjustment of Global Note</w:t>
      </w:r>
      <w:r>
        <w:rPr>
          <w:rFonts w:ascii="Times New Roman;Times;Serif" w:hAnsi="Times New Roman;Times;Serif"/>
          <w:b w:val="false"/>
          <w:i w:val="false"/>
          <w:caps w:val="false"/>
          <w:smallCaps w:val="false"/>
          <w:sz w:val="20"/>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t>     </w:t>
      </w:r>
      <w:r>
        <w:rPr>
          <w:rFonts w:ascii="Times New Roman;Times;Serif" w:hAnsi="Times New Roman;Times;Serif"/>
          <w:b w:val="false"/>
          <w:i w:val="false"/>
          <w:caps w:val="false"/>
          <w:smallCaps w:val="false"/>
          <w:sz w:val="20"/>
          <w:u w:val="single"/>
        </w:rPr>
        <w:t>Notices to Trustee</w:t>
      </w:r>
      <w:r>
        <w:rPr>
          <w:rFonts w:ascii="Times New Roman;Times;Serif" w:hAnsi="Times New Roman;Times;Serif"/>
          <w:b w:val="false"/>
          <w:i w:val="false"/>
          <w:caps w:val="false"/>
          <w:smallCaps w:val="false"/>
          <w:sz w:val="20"/>
        </w:rPr>
        <w:t xml:space="preserve">. The Notes may be redeemed, in whole, or from time to time in part, subject to the conditions and at the Redemption Prices set forth in Section 5 and Section 6 of the form of Note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which is hereby incorporated by reference and made a part of this Indenture, together with accrued and unpaid interest to the Redemption Date. If the Issuers elect to redeem Notes pursuant to Section 5 or Section 6 of the Notes, they shall notify the Trustee in writing of the Redemption Date, the Redemption Price and the principal amount of Notes to be redeemed. The Issuers shall give notice of redemption to the Trustee at least 30 days before the Redemption Date (unless a shorter notice shall be agreed to by the Trustee), together with such documentation and records as shall enable the Trustee to select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t>     </w:t>
      </w:r>
      <w:r>
        <w:rPr>
          <w:rFonts w:ascii="Times New Roman;Times;Serif" w:hAnsi="Times New Roman;Times;Serif"/>
          <w:b w:val="false"/>
          <w:i w:val="false"/>
          <w:caps w:val="false"/>
          <w:smallCaps w:val="false"/>
          <w:sz w:val="20"/>
          <w:u w:val="single"/>
        </w:rPr>
        <w:t>Selection of Notes To Be Redeemed</w:t>
      </w:r>
      <w:r>
        <w:rPr>
          <w:rFonts w:ascii="Times New Roman;Times;Serif" w:hAnsi="Times New Roman;Times;Serif"/>
          <w:b w:val="false"/>
          <w:i w:val="false"/>
          <w:caps w:val="false"/>
          <w:smallCaps w:val="false"/>
          <w:sz w:val="20"/>
        </w:rPr>
        <w:t>. If less than all of the Notes are to be redeemed at any time pursuant to Section 5 or Section 6 of the Notes, the Trustee shall select Notes for redemption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 compliance with the requirements of the principal national securities exchange, if any, on which the Notes are then listed;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on a pro rata basis, by lot or by such method as the Trustee shall deem fair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such redemption pursuant to Section 6 of the Notes, the Trustee shall select the Notes on a pro rata basis to the extent practicable, by lot or such other method as the Trustee in its sole discretion shall deem to be fair and appropriate, unless another method is required by law or applicable exchange or depositary requirements (subject to the procedures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of $2,000 or less shall be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t>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xml:space="preserve">. At least 15 days but not more than 60 days before a Redemption Date, the Issuers shall mail a notice of redemption by first class mail, postage prepaid, or as otherwise provided in accordance with the procedures of the Depository, to each Holder whose Notes are to be redeemed at its registered address, except that redemption notices may be mailed (or otherwise provided in accordance with the procedures of the Depository) more than 60 days prior to a Redemption Date if the notice is issued in connection with a defeasance of the Notes or a satisfaction and discharge of this Indenture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hereof. Notices of redemption may be given prior to the completion of an Equity Offering, and any redemption or notice may, at the Issuers’ discretion, be subject to the completion of an Equity Offering. At the Issuers’ request, the Trustee shall forward the notice of redemption in the Issuers’ name and at the Issuers’ expense. Each notice for redemption shall identify the Notes (including the CUSIP or ISIN number)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and the amount of accrued interest, if any,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Notes called for redemption shall be surrendered to the Paying Agent to collect the Redemption Price plus accrued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unless the Issuers default in making the redemption payment, interest on Notes called for redemption ceases to accrue on and after the Redemption Date, and the only remaining right of the Holders of such Notes is to receive payment of the Redemption Price upon surrender to the Paying Agent of the Notes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fewer than all the Notes are to be redeemed, the identification of the particular Notes (or portion thereof) to be redeemed, as well as the aggregate principal amount of Notes to be redeemed and the aggregate principal amount of Notes to be outstanding after such partial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Section of the Notes or this Indenture, as applicable, pursuant to which the Notes are to be redeemed;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applicable, any conditions precedent to such redemption and that in the Issuers’ sole discretion, the Redemption Date may be delayed, on one or more occasions, until such time as any or all such conditions have been satisfied or waived by the Issuers in writing, or that such redemption may not occur and such notice may be rescinded in the event that any or all such conditions shall not have been satisfied (or waived by the Issuers in their sole discretion) by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Redemption Price is not ascertainable at the time of notice, a notice of redemption shall instead include a brief summary of the manner of calculation of the Redemption Price and a supplemental notice will be given to the Holders (with a copy to the Trustee) upon such Redemption Price becoming ascertainable.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if given in a manner herein provided, shall be conclusively presumed to have been given, whether or not the Holder receives such notice. In any case, failure to give such notice by mail or any defect in the notice to the Holder of any Note designated for redemption in whole or in part shall not affect the validity of the proceedings for the redemption of any other Note. Except as otherwise provided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notices of redemption may not be conditional.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Issuers’ request, the Trustee shall give the notice of redemption in the name of the Issuers and at its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Issuers shall have delivered to the Trustee, at least five Business Days before notice of redemption is required to be given or caused to be given to Holders pursuant to this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(unless a shorter notice shall be agreed to by the Trustee), an Officer’s Certificate requesting that the Trustee give such notice and setting forth the information to be stated in such notice as provided in the preceding paragraph. The Trustee shall have no duty to calculate or verify the calculation of any Applicable Premium included in the Redemption Price stated in any such notice. The Issuers shall provide written notice to the Trustee two Business Days prior to the Redemption Date (or such shorter period as may be acceptable to the Trustee) if any such redemption has been rescinded or delayed, and upon receipt, the Trustee shall provide such notice to each Holder in the same manner in which the notice of redemption was given. The Issuers shall provide written notice to the Trustee prior to the close of business one Business Day prior to the Redemption Date if any redemption is subject to any conditions, such condition had not been satisfied and the Redemption has been rescinded or delayed, and upon receipt the Trustee shall provide such notice to each Holder of the Notes in the same manner in which the notice of redemption was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t>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once notice of redemption is given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Notes called for redemption become due and payable on the Redemption Date, subject to any applicable conditions precedent set forth in such notice of redemption, and at the Redemption Price plus accrued interest, if any. Upon surrender to the Trustee or Paying Agent, such Notes called for redemption shall be paid at the Redemption Price (which shall include accrued interest, if any, up to, but excluding, the Redemption Date, subject to any applicable conditions precedent), but installments of interest, the maturity of which is on or prior to the Redemption Date, shall be payable to Holders of record at the close of business on the relevant Record Dates. On and after the Redemption Date, subject to any applicable conditions precedent, interest shall cease to accrue on Notes or portions thereof called for redemption and the only right of the Holders of such Notes will be to receive payment of the Redemption Price unless the Issuers shall have not complied with their obligations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t>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 On or before 12:00 p.m. New York City time (or such later time as has been agreed to by the Paying Agent) on the Redemption Date, the Issuers shall deposit with the Paying Agent U.S. Legal Tender sufficient to pay the Redemption Price plus accrued and unpaid interest, if any, of all Notes to be redeemed on that date. The Paying Agent shall promptly return to the Issuers any money deposited with the Paying Agent by the Issuers in excess of the amounts necessary to pay the Redemption Price of, and accrued and unpaid interest on, if any, all Notes to be redeemed or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Issuers comply with the preceding paragraph, then, unless the Issuers default in the payment of such Redemption Price plus accrued interest, if any, interest on the Notes to be redeemed will cease to accrue on and after the applicable Redemption Date, whether or not such Notes are presented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tab/>
        <w:t>     </w:t>
      </w:r>
      <w:r>
        <w:rPr>
          <w:rFonts w:ascii="Times New Roman;Times;Serif" w:hAnsi="Times New Roman;Times;Serif"/>
          <w:b w:val="false"/>
          <w:i w:val="false"/>
          <w:caps w:val="false"/>
          <w:smallCaps w:val="false"/>
          <w:sz w:val="20"/>
          <w:u w:val="single"/>
        </w:rPr>
        <w:t>Notes Redeemed in Part</w:t>
      </w:r>
      <w:r>
        <w:rPr>
          <w:rFonts w:ascii="Times New Roman;Times;Serif" w:hAnsi="Times New Roman;Times;Serif"/>
          <w:b w:val="false"/>
          <w:i w:val="false"/>
          <w:caps w:val="false"/>
          <w:smallCaps w:val="false"/>
          <w:sz w:val="20"/>
        </w:rPr>
        <w:t>. If any Note is to be redeemed in part only, the notice of redemption that relates to such Note shall state the portion of the principal amount thereof to be redeemed. A new Note or Notes in principal amount equal to the unredeemed portion of the original Note or Notes shall be issued in the name of the Holder thereof upon surrender and cancellation of the original Note or Notes. It is understood that, notwithstanding anything in this Indenture to the contrary, only an Authentication Order and not an Opinion of Counsel or Officer’s Certificate is required for the Trustee to authenticate such new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tab/>
        <w:t>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 Except as set forth in Section 3.08, the Issuers will not be required to make any mandatory redemption or sinking fund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tab/>
        <w:t>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(i) the Grande Lakes Acquisition has not been consummated on or prior to February 28, 2027 (the “</w:t>
      </w:r>
      <w:r>
        <w:rPr>
          <w:rFonts w:ascii="Times New Roman;Times;Serif" w:hAnsi="Times New Roman;Times;Serif"/>
          <w:b w:val="false"/>
          <w:i w:val="false"/>
          <w:caps w:val="false"/>
          <w:smallCaps w:val="false"/>
          <w:sz w:val="20"/>
          <w:u w:val="single"/>
        </w:rPr>
        <w:t>Special Mandatory Redemption End Date</w:t>
      </w:r>
      <w:r>
        <w:rPr>
          <w:rFonts w:ascii="Times New Roman;Times;Serif" w:hAnsi="Times New Roman;Times;Serif"/>
          <w:b w:val="false"/>
          <w:i w:val="false"/>
          <w:caps w:val="false"/>
          <w:smallCaps w:val="false"/>
          <w:sz w:val="20"/>
        </w:rPr>
        <w:t>”) or (ii) the Issuers notify the Trustee, in writing, that (x) the Issuers will not pursue the completion of the Grande Lakes Acquisition, or (y) the Issuers have determined in their sole discretion that the Grande Lakes Acquisition cannot or is not reasonably likely to be consummated by the Special Mandatory Redemption End Date (any such event described in clause (i) or (ii) of this sentence, a “</w:t>
      </w:r>
      <w:r>
        <w:rPr>
          <w:rFonts w:ascii="Times New Roman;Times;Serif" w:hAnsi="Times New Roman;Times;Serif"/>
          <w:b w:val="false"/>
          <w:i w:val="false"/>
          <w:caps w:val="false"/>
          <w:smallCaps w:val="false"/>
          <w:sz w:val="20"/>
          <w:u w:val="single"/>
        </w:rPr>
        <w:t>Special Mandatory Redemption Event</w:t>
      </w:r>
      <w:r>
        <w:rPr>
          <w:rFonts w:ascii="Times New Roman;Times;Serif" w:hAnsi="Times New Roman;Times;Serif"/>
          <w:b w:val="false"/>
          <w:i w:val="false"/>
          <w:caps w:val="false"/>
          <w:smallCaps w:val="false"/>
          <w:sz w:val="20"/>
        </w:rPr>
        <w:t>”), then the Issuers shall redeem the Notes on the date that is five Business Days following the occurrence of a Special Mandatory Redemption Event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at a price equal to 100% of the issue price of the Notes plus accrued and unpaid interest, if any, to, but excluding,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a Special Mandatory Redemption Event, the Trustee shall send a notice of special mandatory redemption, prepared by the Issuers, on behalf of the Issuers to the Holders on the Business Day immediately following the occurrence of the Special Mandatory Redemption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Business Day immediately prior to the Special Mandatory Redemption Date, the Issuers shall provide, or cause to be provided, to the Trustee any amounts necessary to fund the redemption of the Notes at the Special Mandatory Redemption Price. On the Special Mandatory Redemption Date, the Trustee shall cause the redemption of the Notes and the payment to the Holders of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t>     </w:t>
      </w:r>
      <w:r>
        <w:rPr>
          <w:rFonts w:ascii="Times New Roman;Times;Serif" w:hAnsi="Times New Roman;Times;Serif"/>
          <w:b w:val="false"/>
          <w:i w:val="false"/>
          <w:caps w:val="false"/>
          <w:smallCaps w:val="false"/>
          <w:sz w:val="20"/>
          <w:u w:val="single"/>
        </w:rPr>
        <w:t>Payment of Notes</w:t>
      </w:r>
      <w:r>
        <w:rPr>
          <w:rFonts w:ascii="Times New Roman;Times;Serif" w:hAnsi="Times New Roman;Times;Serif"/>
          <w:b w:val="false"/>
          <w:i w:val="false"/>
          <w:caps w:val="false"/>
          <w:smallCaps w:val="false"/>
          <w:sz w:val="20"/>
        </w:rPr>
        <w:t>. The Issuers shall pay the principal of, premium, if any, and interest on the Notes in the manner provided in the Notes and this Indenture. An installment of principal of, or interest on, the Notes shall be considered paid on the date it is due if the Trustee or Paying Agent (other than the Issuers or an Affiliate thereof) holds no later than 12:00 p.m. (New York City time) on that date U.S. Legal Tender designated for and sufficient to pay the installment. Interest on the Notes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shall pay interest on overdue principal (including post-petition interest in a proceeding under any Bankruptcy Law), and overdue interest, to the extent lawful, at the same rate per annum borne by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t>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xml:space="preserve">. The Issuers shall maintain in the United States of America, the office or agency required under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(which may be an office of the Trustee or an affiliate of the Trustee or Registrar). The Issuers shall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and surrenders may be made at the address of the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may also, from time to time, designate one or more other offices or agencies where the Notes may be presented or surrendered for any or all such purposes and may from time to time rescind such designations. The Issuers shall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Issuers hereby initially designate the Corporate Trust Office of the Trustee, as such office of the Issuers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t>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Except as otherwise permitted by Article Five, Parent and the Issuers shall do or cause to be done all things necessary to preserve and keep in full force and effect their corporate, partnership or other existence, as applicable, and the corporate, partnership or other existence, as applicable, of each of the Restricted Subsidiaries of Parent in accordance with the respective organizational documents of each such Restricted Subsidiary and the related material rights (charter and statutory) of Parent, the Issuers and each Restricted Subsidiary of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Parent and the Issuers shall not be required to preserve any such right or existence with respect to themselves or any Restricted Subsidiary if the Board of Directors of Parent or any Officer of Parent shall determine that the preservation thereof is no longer necessary or desirable in the conduct of the business of Parent, the Issuers and their Restricted Subsidiaries, taken as a whole, and that the loss thereof could not reasonably be expected to have a material adverse effect on the ability of the Issuers to perform their obligations hereunder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however, that the foregoing shall not prohibit a sale, transfer, conveyance, lease or disposal of a Restricted Subsidiary or any of Parent’s or any Restricted Subsidiary’s assets in compliance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t>     </w:t>
      </w:r>
      <w:r>
        <w:rPr>
          <w:rFonts w:ascii="Times New Roman;Times;Serif" w:hAnsi="Times New Roman;Times;Serif"/>
          <w:b w:val="false"/>
          <w:i w:val="false"/>
          <w:caps w:val="false"/>
          <w:smallCaps w:val="false"/>
          <w:sz w:val="20"/>
          <w:u w:val="single"/>
        </w:rPr>
        <w:t>Further Instruments and Acts</w:t>
      </w:r>
      <w:r>
        <w:rPr>
          <w:rFonts w:ascii="Times New Roman;Times;Serif" w:hAnsi="Times New Roman;Times;Serif"/>
          <w:b w:val="false"/>
          <w:i w:val="false"/>
          <w:caps w:val="false"/>
          <w:smallCaps w:val="false"/>
          <w:sz w:val="20"/>
        </w:rPr>
        <w:t>. Upon request of the Trustee or as necessary, the Issuers shall execute and deliver such further instruments and do such further acts as may be reasonably necessary or proper to carry out more effectively the purpose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t>     </w:t>
      </w:r>
      <w:r>
        <w:rPr>
          <w:rFonts w:ascii="Times New Roman;Times;Serif" w:hAnsi="Times New Roman;Times;Serif"/>
          <w:b w:val="false"/>
          <w:i w:val="false"/>
          <w:caps w:val="false"/>
          <w:smallCaps w:val="false"/>
          <w:sz w:val="20"/>
          <w:u w:val="single"/>
        </w:rPr>
        <w:t>Compliance Certificate; Notice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Issuers shall deliver to the Trustee, within 120 days after each December 31, commencing with December 31, 2026, an Officer’s Certificate signed by the principal executive officer, principal financial officer, principal operating officer or principal accounting officer of the Issuers stating that a review of the activities of Parent and the Restricted Subsidiaries has been made under the supervision of the signing Officer with a view to determining whether Parent and the Restricted Subsidiaries have kept, observed, performed and fulfilled their obligations under this Indenture and further stating, as to each such Officer signing such certificate, that, to the best of such Officer’s knowledge, Parent and the Restricted Subsidiaries during such preceding fiscal year have kept, observed, performed and fulfilled each and every such covenant and no Default occurred during such year and at the date of such certificate there is no Default that has occurred and is continuing or, if such signers do know of such Default, the certificate shall specify such Default and what action, if any, the Issuers are taking or propose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Issuers shall deliver to the Trustee, within 30 days after the Issuers become aware (unless such Default has been cured before the end of the 30-day period) of the occurrence of any Default, an Officer’s Certificate specifying the Default and what action, if any, the Issuers are taking or propose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t>     </w:t>
      </w:r>
      <w:r>
        <w:rPr>
          <w:rFonts w:ascii="Times New Roman;Times;Serif" w:hAnsi="Times New Roman;Times;Serif"/>
          <w:b w:val="false"/>
          <w:i w:val="false"/>
          <w:caps w:val="false"/>
          <w:smallCaps w:val="false"/>
          <w:sz w:val="20"/>
          <w:u w:val="single"/>
        </w:rPr>
        <w:t>Waiver of Stay, Extension or Usury Laws</w:t>
      </w:r>
      <w:r>
        <w:rPr>
          <w:rFonts w:ascii="Times New Roman;Times;Serif" w:hAnsi="Times New Roman;Times;Serif"/>
          <w:b w:val="false"/>
          <w:i w:val="false"/>
          <w:caps w:val="false"/>
          <w:smallCaps w:val="false"/>
          <w:sz w:val="20"/>
        </w:rPr>
        <w:t>. The Issuers, Parent and each Guarantor covenants (to the extent permitted by applicable law) that it shall not at any time insist upon, plead, or in any manner whatsoever claim or take the benefit or advantage of, any stay or extension law or any usury law or other law that would prohibit or forgive such Issuer or such Guarantor from paying all or any portion of the principal of and/or interest on the Notes or the Guaranty of any such Guarantor as contemplated herein, wherever enacted, now or at any time hereafter in force, or which may affect the covenants or the performance of this Indenture, and (to the extent permitted by applicable law) each hereby expressly waives all benefit or advantage of any such law, and covenants that it shall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tab/>
        <w:t>     </w:t>
      </w:r>
      <w:r>
        <w:rPr>
          <w:rFonts w:ascii="Times New Roman;Times;Serif" w:hAnsi="Times New Roman;Times;Serif"/>
          <w:b w:val="false"/>
          <w:i w:val="false"/>
          <w:caps w:val="false"/>
          <w:smallCaps w:val="false"/>
          <w:sz w:val="20"/>
          <w:u w:val="single"/>
        </w:rPr>
        <w:t>Change of Control Triggering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occurs, each holder of Notes will have the right to require the Issuers to repurchase some or all (in principal amounts of $2,000 or an integral multiple of $1,000) of such holder’s Notes pursuant to the offer described below (the “</w:t>
      </w:r>
      <w:r>
        <w:rPr>
          <w:rFonts w:ascii="Times New Roman;Times;Serif" w:hAnsi="Times New Roman;Times;Serif"/>
          <w:b w:val="false"/>
          <w:i w:val="false"/>
          <w:caps w:val="false"/>
          <w:smallCaps w:val="false"/>
          <w:sz w:val="20"/>
          <w:u w:val="single"/>
        </w:rPr>
        <w:t>Change of Control Offer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Change of Control Offer will include a cash offer price of 101% of the principal amount of any Notes repurchased plus accrued and unpaid interest, if any, up to, but excluding, the date of repurchase (the “</w:t>
      </w:r>
      <w:r>
        <w:rPr>
          <w:rFonts w:ascii="Times New Roman;Times;Serif" w:hAnsi="Times New Roman;Times;Serif"/>
          <w:b w:val="false"/>
          <w:i w:val="false"/>
          <w:caps w:val="false"/>
          <w:smallCaps w:val="false"/>
          <w:sz w:val="20"/>
          <w:u w:val="single"/>
        </w:rPr>
        <w:t>Change of Control Payment</w:t>
      </w:r>
      <w:r>
        <w:rPr>
          <w:rFonts w:ascii="Times New Roman;Times;Serif" w:hAnsi="Times New Roman;Times;Serif"/>
          <w:b w:val="false"/>
          <w:i w:val="false"/>
          <w:caps w:val="false"/>
          <w:smallCaps w:val="false"/>
          <w:sz w:val="20"/>
        </w:rPr>
        <w:t>”). If a Change of Control Offer is required, within 20 Business Days following a Change of Control, the Issuers will give a notice to each Holder (with a copy to the Trustee) describing the Change of Control, offering to repurchase Notes on a specified date (the “</w:t>
      </w:r>
      <w:r>
        <w:rPr>
          <w:rFonts w:ascii="Times New Roman;Times;Serif" w:hAnsi="Times New Roman;Times;Serif"/>
          <w:b w:val="false"/>
          <w:i w:val="false"/>
          <w:caps w:val="false"/>
          <w:smallCaps w:val="false"/>
          <w:sz w:val="20"/>
          <w:u w:val="single"/>
        </w:rPr>
        <w:t>Change of Control Payment Date</w:t>
      </w:r>
      <w:r>
        <w:rPr>
          <w:rFonts w:ascii="Times New Roman;Times;Serif" w:hAnsi="Times New Roman;Times;Serif"/>
          <w:b w:val="false"/>
          <w:i w:val="false"/>
          <w:caps w:val="false"/>
          <w:smallCaps w:val="false"/>
          <w:sz w:val="20"/>
        </w:rPr>
        <w:t>”) and detailing the instructions that a Holder must follow in order to have its Notes purchased. If such notice is given prior to the occurrence of a Change of Control, the Change of Control Offer shall be conditioned on the occurrence of such Change of Control. The Change of Control Payment Date will be no earlier than 30 days and no later than 60 days from the date the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Change of Control Payment Date, the Issuers will,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payment all Notes properly tendered and not withdrawn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the Change of Control Payment with the paying agent in respect of all Notes so accepted;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to the Trustee the Notes accepted and an Officer’s Certificate stating the aggregate principal amount of all Notes purchased by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Paying Agent will promptly mail or otherwise deliver in accordance with the procedures of the Depository to each Holder of Notes properly tendered the Change of Control Payment for such Notes, and the Trustee will promptly authenticate and mail, or cause to be transferred by book entry, to each holder a new Note in principal amount equal to any unpurchased portion of the Notes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Issuers will comply with the requirements of Section 14(e) of the Exchange Act and any other securities laws or regulations to the extent those laws and regulations are applicable to any Change of Control Offer. If the provisions of any of the applicable securities laws or securities regulations conflict with the provisions of this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the Issuers will comply with the applicable securities laws and regulations and will not be deemed to have breached their obligations under the covenant described above by virtue of that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Issuers shall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Issuers and purchases all Notes validly tendered and not withdrawn under such Change of Control Offer or if notice of redemption has been given pursuant to Section 5 or 6 of the Notes. Notwithstanding anything to the contrary contained herein, a Change of Control Offer may be made in advance of a Change of Control, subject to one or more conditions precedent, including, but not limited to, the consummation of such Change of Control, if a definitive agreement is in place for the Change of Control at the time the Change of Control Offer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the foregoing, in connection with any Change of Control Offer, if Holders of not less than 90% in aggregate principal amount of the outstanding Notes properly tender and do not withdraw such Notes in such Change of Control Offer and the Issuers, or any third party making such Change of Control Offer in lieu of the Issuers, purchases all of the Notes properly tendered and not withdrawn by such Holders, the Issuers or such third party will have the right upon not less than 15 nor more than 60 days’ prior notice, given not more than 30 days following such purchase date, to redeem all Notes that remain outstanding following such purchase at a price equal to 101% of the principal amount of the Notes redeemed plus accrued and unpaid interest, if any, up to, but excluding, the date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tab/>
        <w:t>     </w:t>
      </w:r>
      <w:r>
        <w:rPr>
          <w:rFonts w:ascii="Times New Roman;Times;Serif" w:hAnsi="Times New Roman;Times;Serif"/>
          <w:b w:val="false"/>
          <w:i w:val="false"/>
          <w:caps w:val="false"/>
          <w:smallCaps w:val="false"/>
          <w:sz w:val="20"/>
          <w:u w:val="single"/>
        </w:rPr>
        <w:t>Limitation on 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the Restricted Subsidiaries to Incur any Indebtedness (including Acquired Indebtedness and Construction Indebtedness) if, immediately after giving effect to the Incurrence of such additional Indebtedness and the receipt and application of the proceeds therefrom, the aggregate principal amount of all outstanding Indebtedness of the Restricted Subsidiaries on a consolidated basis would be greater than 65.0% of their Adjusted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not, and shall not permit any of the Restricted Subsidiaries to, Incur any Secured Indebtedness (including Acquired Indebtedness and Construction Indebtedness) if, immediately after giving effect to the Incurrence of such additional Secured Indebtedness and the receipt and application of the proceeds therefrom, the aggregate principal amount of all outstanding Secured Indebtedness of the Restricted Subsidiaries on a consolidated basis would be greater than 45.0% of their Adjusted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not and shall not permit any of the Restricted Subsidiaries to Incur any Indebtedness (including Acquired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of the Restricted Subsidiaries may Incur Indebtedness (including Acquired Indebtedness and Construction Indebtedness) if, after giving effect to the Incurrence of such Indebtedness and the receipt and application of the proceeds therefrom, the Interest Coverage Ratio of the Restricted Subsidiaries on a consolidated basis would be at least 2.0 to 1.0;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Indebtedness (including Acquired Indebtedness) that may be Incurred by Restricted Subsidiaries that are not Subsidiary Guarantors shall not exceed in the aggregate 8.0% of Adjusted Total Assets of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paragraph (a), (b) or (c) above, Parent or any of the Restricted Subsidiaries (except as specified below) may Incur each and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of Parent or any of the Restricted Subsidiaries outstanding under any Credit Facility at any time in an aggregate principal amount not to exceed the greater of (x) $2,900,000,000 and (y) 40.0% of Adjusted Total Assets of Parent and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Indebtedness of Parent or any of the Restricted Subsidiaries owed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Issuers evidenced by an unsubordinated promissory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Parent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event that results in any such Restricted Subsidiary ceasing to be a Restricted Subsidiary of Parent or any subsequent transfer of such Indebtedness (other than to Parent or any other Restricted Subsidiary) shall be deemed, in each case, to constitute an Incurrence of such Indebtedness not permitted by this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Indebtedness of Parent or any of the Restricted Subsidiaries under Interest Rate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agreements (x) are designed primarily to protect Parent or any of the Restricted Subsidiaries against fluctuations in foreign currency exchange rates or interest rates (whether fluctuations of fixed to floating rate interest or floating to fixed rate interest) and (y) do not increase the Indebtedness of the obligor outstanding at any time other than as a result of fluctuations in foreign currency exchange rates or interest rates or by reason of fees, indemnities and compensation payable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Indebtedness of Parent or any of the Restricted Subsidiaries, to the extent the net proceeds thereof are promptly: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used to purchase Notes tendered in a Change of Control Offer made as a result of a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used to redeem all of the Notes pursuant to Section 5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deposited to defease the Notes as described in </w:t>
      </w:r>
      <w:r>
        <w:rPr>
          <w:rFonts w:ascii="Times New Roman;Times;Serif" w:hAnsi="Times New Roman;Times;Serif"/>
          <w:b w:val="false"/>
          <w:i w:val="false"/>
          <w:caps w:val="false"/>
          <w:smallCaps w:val="false"/>
          <w:sz w:val="20"/>
          <w:u w:val="single"/>
        </w:rPr>
        <w:t>Sections 8.02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8.03</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deposited to discharge the obligations under the Notes and this Indenture as described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Permitted Government Revenue Bond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 Guarantees by Parent of Indebtedness of an Issuer or any of the Subsidiary Guarantors; (ii) Guarantees of Indebtedness of Parent or an Issuer by any of the Subsidiary Guarantors;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guarantee of such Indebtedness is permitted by and made in accordance with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and (iii) Guarantees by a Subsidiary Guarantor of any Indebtedness of any other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Indebtedness outstanding on the Issue Date (other than Indebtedness under the Credit Agreement (other than the Term Loan B) or Indebtedness represented by the Notes and each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Indebtedness represented by the Notes and each Guaranty issued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Indebtedness consisting of obligations to pay insurance premiums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Indebtedness in respect of any bankers’ acceptance, bank guarantees, letter of credit, warehouse receipt or similar facilities, and reinvestment obligations related thereto,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Indebtedness in respect of workers’ compensation claims, unemployment or other insurance or self-insurance obligations, indemnities, bankers’ acceptances, performance, bid completion, return-of-money, appeal and surety bonds or guarantees and similar types of obligations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Indebtedness represented by cash management obligations and other obligations in respect of credit or debit card services, netting services, automatic clearinghouse arrangements, overdraft protections and similar arrangements in each case in connection with deposit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Indebtedness supported by a letter of credit procured by Parent or any of the Restricted Subsidiaries in a principal amount not in excess of the stated amount of such letter of credit and where the underlying Indebtedness would otherwise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Permitted Refinancing Indebtedness Incurred in exchange for, or the net proceeds of which are used to refund, refinance or replace, Indebtedness (other than intercompany Indebtedness) that was permitted by this Indenture to be Incurred under the provisions of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clauses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(xxi)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4.08(d)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Indebtedness (including Capitalized Lease Obligations) Incurred by Parent or any Restricted Subsidiary within 270 days of the related purchase, lease or improvement, to finance the purchase, lease or improvement of property (real or personal) or equipment used in the business of Parent or any Restricted Subsidiary, whether through the direct purchase of assets or the Capital Stock of any Person owning such assets in an aggregate principal amount not to exceed at any one time outstanding the greater of (x) $145,000,000 and (y) 2.0% of Adjusted Total Assets at any time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Permitted Refinancing Indebtedness Incurred under </w:t>
      </w:r>
      <w:r>
        <w:rPr>
          <w:rFonts w:ascii="Times New Roman;Times;Serif" w:hAnsi="Times New Roman;Times;Serif"/>
          <w:b w:val="false"/>
          <w:i w:val="false"/>
          <w:caps w:val="false"/>
          <w:smallCaps w:val="false"/>
          <w:sz w:val="20"/>
          <w:u w:val="single"/>
        </w:rPr>
        <w:t>Section 4.08(d)(xiv)</w:t>
      </w:r>
      <w:r>
        <w:rPr>
          <w:rFonts w:ascii="Times New Roman;Times;Serif" w:hAnsi="Times New Roman;Times;Serif"/>
          <w:b w:val="false"/>
          <w:i w:val="false"/>
          <w:caps w:val="false"/>
          <w:smallCaps w:val="false"/>
          <w:sz w:val="20"/>
        </w:rPr>
        <w:t xml:space="preserve"> in respect of Indebtedness Incurred pursuant to this </w:t>
      </w:r>
      <w:r>
        <w:rPr>
          <w:rFonts w:ascii="Times New Roman;Times;Serif" w:hAnsi="Times New Roman;Times;Serif"/>
          <w:b w:val="false"/>
          <w:i w:val="false"/>
          <w:caps w:val="false"/>
          <w:smallCaps w:val="false"/>
          <w:sz w:val="20"/>
          <w:u w:val="single"/>
        </w:rPr>
        <w:t>Section 4.08(d)(xv)</w:t>
      </w:r>
      <w:r>
        <w:rPr>
          <w:rFonts w:ascii="Times New Roman;Times;Serif" w:hAnsi="Times New Roman;Times;Serif"/>
          <w:b w:val="false"/>
          <w:i w:val="false"/>
          <w:caps w:val="false"/>
          <w:smallCaps w:val="false"/>
          <w:sz w:val="20"/>
        </w:rPr>
        <w:t xml:space="preserve"> shall be deemed to have been Incurred under this </w:t>
      </w:r>
      <w:r>
        <w:rPr>
          <w:rFonts w:ascii="Times New Roman;Times;Serif" w:hAnsi="Times New Roman;Times;Serif"/>
          <w:b w:val="false"/>
          <w:i w:val="false"/>
          <w:caps w:val="false"/>
          <w:smallCaps w:val="false"/>
          <w:sz w:val="20"/>
          <w:u w:val="single"/>
        </w:rPr>
        <w:t>Section 4.08(d)(xv)</w:t>
      </w:r>
      <w:r>
        <w:rPr>
          <w:rFonts w:ascii="Times New Roman;Times;Serif" w:hAnsi="Times New Roman;Times;Serif"/>
          <w:b w:val="false"/>
          <w:i w:val="false"/>
          <w:caps w:val="false"/>
          <w:smallCaps w:val="false"/>
          <w:sz w:val="20"/>
        </w:rPr>
        <w:t xml:space="preserve"> for purposes of determining the amount of Indebtedness that may at any time be Incurred under this clause </w:t>
      </w:r>
      <w:r>
        <w:rPr>
          <w:rFonts w:ascii="Times New Roman;Times;Serif" w:hAnsi="Times New Roman;Times;Serif"/>
          <w:b w:val="false"/>
          <w:i w:val="false"/>
          <w:caps w:val="false"/>
          <w:smallCaps w:val="false"/>
          <w:sz w:val="20"/>
          <w:u w:val="single"/>
        </w:rPr>
        <w:t>Section 4.08(d)(xv)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Indebtedness arising from agreements providing for indemnification, adjustment of purchase price or similar obligations Incurred in connection with the disposition of any business, assets or Restricted Subsidiary, other than Guarantees of Indebtedness Incurred by any other Person for the purpose of acquiring or financing the acquisition of any such business, assets or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contingent liabilities in respect of any indemnification, adjustment of purchase price, non-compete, consulting, deferred taxes and similar obligations of Parent and the Restricted Subsidiaries Incurred in connection with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Indebtedness in respect of (i) taxes, assessments, governmental charges or levies and (ii) deferred compensation to employees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Indebtedness arising from or in connection with accounts payable for deferred purchase price of property or services in the ordinary course of business greater than 90 days past the invoice billing date which are being contested in good faith by appropriate proceedings and for which adequate reserves have been established in conformity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additional Indebtedness of Parent and the Restricted Subsidiaries in aggregate principal amount at any time outstanding not to exceed the greater of $290,000,000 and 4.0% of Adjusted Total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Permitted Refinancing Indebtedness Incurred under clause (xiv) above in respect of such Indebtedness shall be deemed to have been Incurred under this clause (xx) for purposes of determining the amount of Indebtedness that may at any time be Incurred under this clause (xx);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Indebtedness of any Person (1) outstanding on the date of any acquisition of such Person, including through the acquisition of a Person that becomes a Subsidiary of Parent or is acquired by, or merged or consolidated with or into, the Issuers or any Subsidiary of Parent, or that is assumed by Parent or any of its Restricted Subsidiaries in connection with any such acquisition (other than Indebtedness Incurred by such Person in connection with, or in contemplation of, such acquisition, merger or consolidation) or (2) Incurred by Parent or any of its Subsidiaries to provide all or any portion of the funds utilized to acquire, or to consummate the transaction or series of related transactions in connection with or in contemplation of any acquisition of, any Investments or other securities or assets, including through the acquisition of a Person that becomes a Subsidiary of Parent or is acquired by, or merged or consolidated with or into, Parent or any Subsidiary of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immediately after giving effect to the Incurrence of such Indebtedness pursuant to this clause (xxi) and, if applicable, the repayment, repurchase, defeasance, redemption, refinancing or other discharge of any other Indebtedness in connection with such acquisition, merger or consolidation and the other pro forma adjustments, if applicable, set forth in the definition of “Interest Coverage Ratio” on a pro forma basis, either (i) Parent would have been able to Incur at least $1.00 of additional Indebtedness under each of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4.08(c)</w:t>
      </w:r>
      <w:r>
        <w:rPr>
          <w:rFonts w:ascii="Times New Roman;Times;Serif" w:hAnsi="Times New Roman;Times;Serif"/>
          <w:b w:val="false"/>
          <w:i w:val="false"/>
          <w:caps w:val="false"/>
          <w:smallCaps w:val="false"/>
          <w:sz w:val="20"/>
        </w:rPr>
        <w:t> or (ii) the Interest Coverage Ratio of Parent would have been greater than or equal to the Interest Coverage Ratio immediately prior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other provision of this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the maximum amount of Indebtedness that Parent or any of the Restricted Subsidiaries may Incur pursuant to this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shall not be deemed to be exceeded, with respect to any outstanding Indebtedness, due solely to the result of fluctuations in the exchange rates of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in the event that an item of Indebtedness meets the criteria of more than one of the categories of permitted Indebtedness described in clauses (i) through (xxi) of paragraph (d) above or is entitled to be Incurred pursuant to paragraphs (a), (b) and (c) above, the Issuers shall, in their sole discretion, be entitled to classify all or a portion of such item of Indebtedness on the date of its Incurrence and determine the order of such Incurrence (and may later reclassify such item of Indebtedness) and may divide and classify such Indebtedness in more than one of the types of Indebtedness described. At any time that Parent or the Restricted Subsidiaries would be entitled to have Incurred any then outstanding Indebtedness under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such Indebtedness shall be automatically reclassified into Indebtedness Incurred pursuant to those paragraphs. Notwithstanding the foregoing, any Indebtedness Incurred on or prior to the Issue Date and outstanding under the Credit Agreement on the Issue Date (other than the Term Loan B) shall be deemed to have been Incurred under clause (i) of paragraph (d) above and may not be reclassified. For the avoidance of doubt, the outstanding principal amount of any particular Indebtedness shall be counted only once and any obligations arising under any Guarantee, Lien, letter of credit or similar instrument supporting such Indebtedness shall not be double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any U.S. dollar-denominated restriction on the Incurrence of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plus the amount of any reasonable premium (including reasonable tender premiums), defeasance costs and any reasonable fees and expenses Incurred in connection with the issuance of such new Indebtedness.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tab/>
        <w:t>     </w:t>
      </w:r>
      <w:r>
        <w:rPr>
          <w:rFonts w:ascii="Times New Roman;Times;Serif" w:hAnsi="Times New Roman;Times;Serif"/>
          <w:b w:val="false"/>
          <w:i w:val="false"/>
          <w:caps w:val="false"/>
          <w:smallCaps w:val="false"/>
          <w:sz w:val="20"/>
          <w:u w:val="single"/>
        </w:rPr>
        <w:t>Limitation on Restricted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the Restricted Subsidiaries to,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any dividend or make any distribution on or with respect to Capital Stock of Parent or any Restricted Subsidiary held by Persons other than Parent or any of the Restricted Subsidiaries other than (1) dividends or distributions payable solely in shares of its Capital Stock (other than Disqualified Stock) or in options, warrants or other rights to acquire shares of such Capital Stock and (2) pro rata dividends or other distributions made by a Restricted Subsidiary that is not Wholly Owned to minority stockholders (or owners of equivalent interests in the event such Subsidiary is not 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purchase, redeem, retire or otherwise acquire for value any shares of Capital Stock (including options, warrants or other rights to acquire such shares of Capital Stock) of Opco or any of its direct or indirect parent entities held by any Person (other than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make any voluntary or optional principal payment, or voluntary or optional redemption, repurchase, defeasance, or other acquisition or retirement for value, or give any irrevocable notice of redemption of Subordinated Indebtedness of the Issuers or any Guarantor, in each case excluding (1) any intercompany Indebtedness between or among Parent, the Issuers or any of the Subsidiary Guarantors; (2) the payment, purchase, redemption, defeasance, acquisition or retirement (collectively, a “</w:t>
      </w:r>
      <w:r>
        <w:rPr>
          <w:rFonts w:ascii="Times New Roman;Times;Serif" w:hAnsi="Times New Roman;Times;Serif"/>
          <w:b w:val="false"/>
          <w:i w:val="false"/>
          <w:caps w:val="false"/>
          <w:smallCaps w:val="false"/>
          <w:sz w:val="20"/>
          <w:u w:val="single"/>
        </w:rPr>
        <w:t>purchase</w:t>
      </w:r>
      <w:r>
        <w:rPr>
          <w:rFonts w:ascii="Times New Roman;Times;Serif" w:hAnsi="Times New Roman;Times;Serif"/>
          <w:b w:val="false"/>
          <w:i w:val="false"/>
          <w:caps w:val="false"/>
          <w:smallCaps w:val="false"/>
          <w:sz w:val="20"/>
        </w:rPr>
        <w:t xml:space="preserve">”) of Subordinated Indebtedness purchased in anticipation of satisfying a sinking fund obligation, principal installment or final maturity, in each case due within one year of the date of such payment, purchase, redemption, defeasance, acquisition or retirement; and (3) the giving of an irrevocable notice of redemption with respect to a transaction described in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make an Investment, other than a Permitted Investment, in any Person, (such payments or any other actions described in clauses (i) through (iv) of this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being collectively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if, at the time of, and after giving effect to, the proposed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Issuers could not Incur at least $1.00 of Indebtedness under each of paragraphs (a) and (c) of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aggregate amount of all Restricted Payments (the amount, if other than in cash, to be determined in good faith by the Board of Directors of Parent, whose determination shall be conclusive and evidenced by a Board Resolution) made after April 14, 2015, shall exceed the sum of,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95% of the aggregate amount of the Funds From Operations (or, if the Funds From Operations is a loss, minus 100% of the amount of such loss) accrued on a cumulative basis during the period (taken as one accounting period) beginning on April 1, 2013 and ending on the last day of the last fiscal quarter preceding the Transaction Date for which reports have been filed with the SEC or provided to the Trustee pursuant to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aggregate Net Cash Proceeds received by the Issuers after April 14, 2015, from (x) the issuance and sale of Opco’s Capital Stock (other than Disqualified Stock) or (y) the issuance and sale of Parent’s Capital Stock (other than Disqualified Stock) to a Person who is not a Subsidiary of Parent, including from an issuance or sale permitted by this Indenture of Indebtedness of Parent or any of the Restricted Subsidiaries for cash subsequent to January 1, 2013 upon the conversion of such Indebtedness into Capital Stock (other than Disqualified Stock) of Opco or Parent, or from the issuance to a Person who is not a Subsidiary of Parent of any options, warrants or other rights to acquire Capital Stock of Opco or Parent (in each case, exclusive of any Disqualified Stock or any options, warrants or other rights that are redeemable at the option of the holder for cash or Indebtedness, or are required to be redeemed, prior to the Stated Maturity of the Notes),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amount equal to the net reduction in Investments (other than reductions in Permitted Investments) in any Person after April 14, 2015, resulting from payments of interest on Indebtedness, dividends, repayments of loans or advances, or other transfers of assets, in each case to Parent or any of the Restricted Subsidiaries or from the Net Cash Proceeds from the sale of any such Investment (except, in each case, to the extent any such payment or proceeds are included in the calculation of Funds From Operations) or from redesignations of Unrestricted Subsidiaries as Restricted Subsidiaries (valued in each case as provided in the definition of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not to exceed, in each case, the amount of Investments previously made by Parent and the Restricted Subsidiaries in such Person or Unrestricted Subsidiary and treated as a Restricted Payment,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fair market value of non-cash tangible assets or Capital Stock acquired in exchange for an issuance of Capital Stock (other than Disqualified Stock or Capital Stock issued in exchange for Capital Stock of the Issuers or Parent utilized pursuant to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of Opco or Parent, in each case, subsequent to January 1, 2013 (including upon conversion or exchange of the Common Units for Capital Stock of Parent, in which case the fair market value shall equal the fair market value received upon issuance of such Common Units),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duplication, in the event Parent or any Restricted Subsidiary makes any Investment in a Person that, as a result of or in connection with such Investment, becomes a Restricted Subsidiary, an amount not to exceed the amount of Investments previously made by Parent and the Restricted Subsidiaries in such Person that was treated as a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the limitations on Restricted Payments described above shall not apply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payment of any distribution or other action that the Board of Directors of Parent believes in good faith is necessary to maintain Parent’s status as a REIT under the Code, including, but not limited to, pro rata dividends or other distributions by Opco to minority unitholders as a result of a distribution from Opco to Parent for the purpose of funding of any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payment of any dividend or distribution or the consummation of any irrevocable redemption within 60 days after the date of declaration thereof or the giving of a redemption notice related thereto, as the case may be, if, at said date of declaration or notice, such payment would comply with the provisions of this Indenture governing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payment, redemption, repurchase, defeasance or other acquisition or retirement for value of Subordinated Indebtedness, including premium, if any, and accrued and unpaid interest, with the proceeds of, or in exchange for, Indebtedness Incurred under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4.08(d)(xiv)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the making of any Restricted Payment in exchange for, or out of the proceeds of the substantially concurrent sale of, Capital Stock of Opco or Parent (other than any Disqualified Stock or any Capital Stock sold to Parent or a Restricted Subsidiary or to an employee stock ownership plan or any trust established by Parent or any of its Subsidiaries) or from substantially concurrent contributions to the equity capital of Opco (collectively, including any such contributions, “</w:t>
      </w:r>
      <w:r>
        <w:rPr>
          <w:rFonts w:ascii="Times New Roman;Times;Serif" w:hAnsi="Times New Roman;Times;Serif"/>
          <w:b w:val="false"/>
          <w:i w:val="false"/>
          <w:caps w:val="false"/>
          <w:smallCaps w:val="false"/>
          <w:sz w:val="20"/>
          <w:u w:val="single"/>
        </w:rPr>
        <w:t>Refunding Capital Stock</w:t>
      </w:r>
      <w:r>
        <w:rPr>
          <w:rFonts w:ascii="Times New Roman;Times;Serif" w:hAnsi="Times New Roman;Times;Serif"/>
          <w:b w:val="false"/>
          <w:i w:val="false"/>
          <w:caps w:val="false"/>
          <w:smallCaps w:val="false"/>
          <w:sz w:val="20"/>
        </w:rPr>
        <w:t xml:space="preserve">”) (with any offering within 90 days deemed as substantially concurrent); and (b) the declaration and payment of accrued dividends on any Capital Stock redeemed, repurchased, retired, defeased or acquired out of the proceeds of the sale of Refunding Capital Stock within 90 days of such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such proceeds or contributions that are utilized for any Restricted Payment pursuant to this clause (iv) shall be excluded from the amount described in </w:t>
      </w:r>
      <w:r>
        <w:rPr>
          <w:rFonts w:ascii="Times New Roman;Times;Serif" w:hAnsi="Times New Roman;Times;Serif"/>
          <w:b w:val="false"/>
          <w:i w:val="false"/>
          <w:caps w:val="false"/>
          <w:smallCaps w:val="false"/>
          <w:sz w:val="20"/>
          <w:u w:val="single"/>
        </w:rPr>
        <w:t>Section 4.09(a)(iv)(3)(B)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payment, redemption, repurchase, defeasance or other acquisition or retirement for value of Subordinated Indebtedness, including premium, if any, and accrued and unpaid interest with the proceeds of, or in exchange for, an issuance of, shares of Capital Stock of Parent or Opco (or options, warrants or other rights to acquire such Capital Stock) that occurs within 90 days of such payment, redemption, repurchase, defeasance or other acquisition or retirement for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such proceeds or contributions that are utilized for any Restricted Payments pursuant to this clause (v) shall be excluded from the amount described in </w:t>
      </w:r>
      <w:r>
        <w:rPr>
          <w:rFonts w:ascii="Times New Roman;Times;Serif" w:hAnsi="Times New Roman;Times;Serif"/>
          <w:b w:val="false"/>
          <w:i w:val="false"/>
          <w:caps w:val="false"/>
          <w:smallCaps w:val="false"/>
          <w:sz w:val="20"/>
          <w:u w:val="single"/>
        </w:rPr>
        <w:t>Section 4.09(a)(iv)(3)(B)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repurchase, redemption or other acquisition or retirement for value of any shares of Capital Stock (or options, warrants or other rights to acquire such Capital Stock) of Parent or any Restricted Subsidiary in each case held by any of Parent’s or any Restricted Subsidiaries’ current or former officers, directors, consultants or employees (or any permitted transferees, assigns, estates or heirs of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aggregate amount paid by Parent and the Restricted Subsidiaries pursuant to this clause (vi) shall not exceed $10,000,000 in any calendar year (excluding for purposes of calculating such amount the amount paid for Capital Stock repurchased, redeemed, acquired or retired with the cash proceeds from the repayment of outstanding loans previously made by Parent or a Restricted Subsidiary for the purpose of financing the acquisition of such Capital Stock), with unused amounts in any calendar year being carried over to the next succeeding calendar year;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amount in any calendar year may be increased by an amount not to exceed (A) the Net Cash Proceeds from the sale of Capital Stock (other than Disqualified Stock) of Opco or Parent to members of management, directors or consultants of Parent or any of the Restricted Subsidiaries that occurs after the Issue Date, to the extent such proceeds (1) have not otherwise been and are not thereafter applied to the payment of any other Restricted Payment or (2) are not attributable to loans made by Parent or a Restricted Subsidiary for the purpose of financing the acquisition of such Capital Stock, plus (B) the cash proceeds of key man life insurance policies received by Parent and the Restricted Subsidiaries after the Issue Date, less (C) the amount of any Restricted Payments previously made pursuant to clauses (A) and (B) of this clause (vi);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any amount referred to in clauses (A) and (B) of this clause (vi) not used in such fiscal year may be carried forward and used in the next succeeding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payments made or expected to be made by Parent or any Restricted Subsidiary, in each case, in respect of withholding or similar taxes payable upon exercise of options to purchase Capital Stock by any future, present or former employee, director, officer, manager or consultant (or any permitted transferees, assigns, estates or heirs of any of the foregoing) and any repurchases of Capital Stock deemed to occur upon exercise of stock options or warrants if such Capital Stock represents a portion of the exercise price of such options or warrants or required withholding or similar taxes and cashless repurchases of Capital Stock deemed to occur upon exercise of stock options or warrants if such Capital Stock represent a portion of the exercise price of such options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repurchase, redemption or other acquisition or retirement for value of any Subordinated Indebtedness pursuant to the provisions similar to those described under </w:t>
      </w:r>
      <w:r>
        <w:rPr>
          <w:rFonts w:ascii="Times New Roman;Times;Serif" w:hAnsi="Times New Roman;Times;Serif"/>
          <w:b w:val="false"/>
          <w:i w:val="false"/>
          <w:caps w:val="false"/>
          <w:smallCaps w:val="false"/>
          <w:sz w:val="20"/>
          <w:u w:val="single"/>
        </w:rPr>
        <w:t>Sections 4.07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Notes validly tendered by holders of Notes in connection with a Change of Control Offer or Asset Sale Offer, as applicable, have been repurchased, redeemed, acquired or retired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making of any Restricted Payment in the form of a dividend or any other distribution to the Issuers or any Guarantor on the Capital Stock of such Person or with respect to any other interest or participation in, or measured by, its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declaration and payment of dividends on Disqualified Stock the issuance of which was permitted under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spin-off of Opry Assets to the stockholders of Parent on a pro rata basis (including, without limitation and for the sake of clarity, the transfer of the Opry Assets to an Unrestricted Subsidiary in connection with a spin-off of such Unrestricted Subsidiary to the stockholders of Parent on a pro rata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payments or distributions to dissenting holders of Capital Stock of Parent pursuant to applicable law pursuant to or in connection with a consolidation, merger or transfer of assets that complies with the provisions of this Indenture described below under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Restricted Payment with respect to preferred interests issued to satisfy the “100 shareholders” REIT qualification requirement under Section 856(a)(5)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sale, dividend or distribution of the Capital Stock of an Unrestricted Subsidiary (other than Unrestricted Subsidiaries the primary assets of which are cash and/or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payment of cash in lieu of the issuance of fractional shares of Capital Stock upon exercise or conversion of securities exercisable or convertible into Capital Stock of Parent or Opco;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additional Restricted Payments in an aggregate amount not to exceed the greater of (x) $360,000,000 and (y) 5.0% of Adjusted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in the case of clauses (2) and (3), no Default or Event of Default shall have occurred and be continuing or occur as a direct consequence of the actions or payments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net amount of any Restricted Payment permitted pursuant to </w:t>
      </w:r>
      <w:r>
        <w:rPr>
          <w:rFonts w:ascii="Times New Roman;Times;Serif" w:hAnsi="Times New Roman;Times;Serif"/>
          <w:b w:val="false"/>
          <w:i w:val="false"/>
          <w:caps w:val="false"/>
          <w:smallCaps w:val="false"/>
          <w:sz w:val="20"/>
          <w:u w:val="single"/>
        </w:rPr>
        <w:t>Section 4.09(b)(i)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be included in calculating whether the conditions of </w:t>
      </w:r>
      <w:r>
        <w:rPr>
          <w:rFonts w:ascii="Times New Roman;Times;Serif" w:hAnsi="Times New Roman;Times;Serif"/>
          <w:b w:val="false"/>
          <w:i w:val="false"/>
          <w:caps w:val="false"/>
          <w:smallCaps w:val="false"/>
          <w:sz w:val="20"/>
          <w:u w:val="single"/>
        </w:rPr>
        <w:t>Section 4.09(a)(iv)(3)</w:t>
      </w:r>
      <w:r>
        <w:rPr>
          <w:rFonts w:ascii="Times New Roman;Times;Serif" w:hAnsi="Times New Roman;Times;Serif"/>
          <w:b w:val="false"/>
          <w:i w:val="false"/>
          <w:caps w:val="false"/>
          <w:smallCaps w:val="false"/>
          <w:sz w:val="20"/>
        </w:rPr>
        <w:t xml:space="preserve"> have been met with respect to any subsequent Restricted Payments. The net amount of any Restricted Payment permitted pursuant to clauses (iii) through (xvi) of the immediately preceding paragraph shall be excluded in calculating whether the conditions of </w:t>
      </w:r>
      <w:r>
        <w:rPr>
          <w:rFonts w:ascii="Times New Roman;Times;Serif" w:hAnsi="Times New Roman;Times;Serif"/>
          <w:b w:val="false"/>
          <w:i w:val="false"/>
          <w:caps w:val="false"/>
          <w:smallCaps w:val="false"/>
          <w:sz w:val="20"/>
          <w:u w:val="single"/>
        </w:rPr>
        <w:t>Section 4.09(a)(iv)(3)</w:t>
      </w:r>
      <w:r>
        <w:rPr>
          <w:rFonts w:ascii="Times New Roman;Times;Serif" w:hAnsi="Times New Roman;Times;Serif"/>
          <w:b w:val="false"/>
          <w:i w:val="false"/>
          <w:caps w:val="false"/>
          <w:smallCaps w:val="false"/>
          <w:sz w:val="20"/>
        </w:rPr>
        <w:t xml:space="preserve"> have been met with respect to any subsequent Restricted Payments. The amount of all Restricted Payments (other than cash) shall be the fair market value on the date of the Restricted Payment of the asset(s) or securities proposed to be transferred or issued to or by Parent or such Restricted Subsidiary, as the case may be, pursuant to the Restricted Payment. In determining whether any Restricted Payment is permitted by this covenant, Parent and its Restricted Subsidiaries may allocate all or any portion of such Restricted Payment among the categories described in clauses </w:t>
      </w:r>
      <w:r>
        <w:rPr>
          <w:rFonts w:ascii="Times New Roman;Times;Serif" w:hAnsi="Times New Roman;Times;Serif"/>
          <w:b w:val="false"/>
          <w:i w:val="false"/>
          <w:caps w:val="false"/>
          <w:smallCaps w:val="false"/>
          <w:sz w:val="20"/>
          <w:u w:val="single"/>
        </w:rPr>
        <w:t>Section 4.09(b)(i)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(xvi)</w:t>
      </w:r>
      <w:r>
        <w:rPr>
          <w:rFonts w:ascii="Times New Roman;Times;Serif" w:hAnsi="Times New Roman;Times;Serif"/>
          <w:b w:val="false"/>
          <w:i w:val="false"/>
          <w:caps w:val="false"/>
          <w:smallCaps w:val="false"/>
          <w:sz w:val="20"/>
        </w:rPr>
        <w:t xml:space="preserve"> or among such categories and the types of Restricted Payments described in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(including categorization in whole or in part as a Permitted Investment);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allocation, all such Restricted Payments, or allocated portions thereof, would be permitted under the various provisions of this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tab/>
        <w:t>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Parent shall not, and shall not permit any of the Restricted Subsidiaries to, create, incur, assume or otherwise cause or suffer to exist or become effective any Lien of any kind (other than Permitted Liens) upon any of their property or assets, now owned or hereafter acquired, unless all payments due under this Indenture and the Notes are secured on an equal and ratable or prior basis with the Obligations so secured until such time as such Obligations are no longer secured by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tab/>
        <w:t>     </w:t>
      </w:r>
      <w:r>
        <w:rPr>
          <w:rFonts w:ascii="Times New Roman;Times;Serif" w:hAnsi="Times New Roman;Times;Serif"/>
          <w:b w:val="false"/>
          <w:i w:val="false"/>
          <w:caps w:val="false"/>
          <w:smallCaps w:val="false"/>
          <w:sz w:val="20"/>
          <w:u w:val="single"/>
        </w:rPr>
        <w:t>Limitation on Asset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the Restricted Subsidiaries to, consummate any Asset Sale,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consideration received by Parent or such Restricted Subsidiary is at least equal to the fair market value of the assets sold or disposed 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least 75% of the consideration received, calculated on a cumulative basis together with other Asset Sales from the Issue Date, consists of cash, Temporary Cash Investments or Replacement Assets, or a combination of cash, Temporary Cash Investments or Replacement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with respect to the sale of one or more properties that up to 75% of the consideration may consist of Indebtedness of the purchaser of such properties so long as such Indebtedness is secured by a first priority Lien on the property or properties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each of the following shall be deemed to be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liabilities of Parent or the Restricted Subsidiaries (as shown on the most recent consolidated balance sheet of Parent and the Restricted Subsidiaries other than contingent liabilities and liabilities that are by their terms subordinated to the Notes or any Guaranty) that are assumed by the transferee of any such assets pursuant to an agreement that releases Parent or any such Restricted Subsidiary from further liability with respect to such liabilities or that are assumed by contract or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securities, notes or other obligations received by Parent or any such Restricted Subsidiary from such transferee that are converted by Parent or such Restricted Subsidiary into cash or Temporary Cash Investments within 180 days (to the extent of the cash or Temporary Cash Investments received in that conversion);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Designated Non-Cash Consideration received by Parent or any such Restricted Subsidiary in such Asset Sale having an aggregate fair market value, taken together with all other Designated Non-Cash Consideration received pursuant to this clause (iii) that is at the time outstanding, not to exceed the greater of (x) $145,000,000 and (y) 2.0% of the Issuers’ Adjusted Total Assets at the time of the receipt of such Designated Non-Cash Consideration, with the fair market value of each item of Designated Non-Cash Consideration being measured at the time received and without giving effect to subsequent changes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any Asset Sale arising from any sale, transfer or other disposition of an Investment in a joint venture to the extent required by, or made pursuant to, customary buy/sell arrangements between the joint venture parties set forth in joint venture or similar agreements need not comply with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 xml:space="preserve"> to the extent the Net Cash Proceeds received in such transaction shall be applied in accordance with the provisions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365 days after the receipt of any Net Cash Proceeds from an Asset Sale, Parent or any such Restricted Subsidiary may apply such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prepay, repay, redeem or purchase Pari Passu Indebtedness of the Issuers or a Subsidiary Guarantor that is Secured Indebtedness (in each case other than Indebtedness owed to the Issuers or an Affiliate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make an Investment in (provided such Investment is in the form of Capital Stock), or to acquire all or substantially all of the assets of, a Person engaged in a Permitted Business if such Person is, or will become as a result thereof,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prepay, repay, redeem or purchase Pari Passu Indebtedness of Parent, an Issuer or of any Subsidiary Guarantor or any Indebtedness of a Restricted Subsidiary that is not a Subsidiary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Parent, the Issuers or a Subsidiary Guarantor shall so prepay, repay, redeem or purchase any such Pari Passu Indebtedness, the Issuers shall equally and ratably reduce obligations under the Notes if the Notes are then prepayable or, if the Notes may not then be prepaid, the Issuers shall make an offer (in accordance with the procedures set forth below) with the ratable proceeds to all Holders to purchase the Notes at 100% of the principal amount thereof, plus accrued but unpaid interest, if any, up to the principal amount of Notes that would otherwise be prepaid;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fund all or a portion of an optional redemption of the Notes pursuant to Section 5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make a capital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acquire Replacement Assets to be used or that are useful in a Permitted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Issuers shall be deemed to have complied with the provisions described in clauses (ii), (v) and (vi) of this paragraph if and to the extent that, within 365 days after the Asset Sale that generated the Net Cash Proceeds, Parent or any of the Restricted Subsidiaries has entered into and not abandoned or rejected a binding agreement to acquire the assets or Capital Stock of a Permitted Business, acquire Replacement Assets or make a capital expenditure in compliance with the provisions described in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of this paragraph (each an “</w:t>
      </w:r>
      <w:r>
        <w:rPr>
          <w:rFonts w:ascii="Times New Roman;Times;Serif" w:hAnsi="Times New Roman;Times;Serif"/>
          <w:b w:val="false"/>
          <w:i w:val="false"/>
          <w:caps w:val="false"/>
          <w:smallCaps w:val="false"/>
          <w:sz w:val="20"/>
          <w:u w:val="single"/>
        </w:rPr>
        <w:t>Acceptable Commitment</w:t>
      </w:r>
      <w:r>
        <w:rPr>
          <w:rFonts w:ascii="Times New Roman;Times;Serif" w:hAnsi="Times New Roman;Times;Serif"/>
          <w:b w:val="false"/>
          <w:i w:val="false"/>
          <w:caps w:val="false"/>
          <w:smallCaps w:val="false"/>
          <w:sz w:val="20"/>
        </w:rPr>
        <w:t xml:space="preserve">”), and that Acceptable Commitment (or a replacement commitment should the Acceptable Commitment be subsequently cancelled or terminated for any reason) is thereafter completed within 180 days after the end of such 365-day period. Pending the final application of any such Net Cash Proceeds, the Issuers may temporarily reduce the revolving Indebtedness under any Credit Facility or otherwise invest such Net Cash Proceeds in any manner that is not prohibited by this Indenture. The amount of such excess Net Cash Proceeds required to be applied (or to be committed to be applied) during such 365-day period as set forth in this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and not so applied by the end of such period shall constitute “</w:t>
      </w:r>
      <w:r>
        <w:rPr>
          <w:rFonts w:ascii="Times New Roman;Times;Serif" w:hAnsi="Times New Roman;Times;Serif"/>
          <w:b w:val="false"/>
          <w:i w:val="false"/>
          <w:caps w:val="false"/>
          <w:smallCaps w:val="false"/>
          <w:sz w:val="20"/>
          <w:u w:val="single"/>
        </w:rPr>
        <w:t>Excess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When the aggregate amount of Excess Proceeds exceeds $110,000,000, the Issuers shall make an offer to all holders of the Notes and, if required by the terms of any Indebtedness that is Pari Passu Indebtedness, to the holders of such Pari Passu Indebtedness on a pro rata basis (an “</w:t>
      </w:r>
      <w:r>
        <w:rPr>
          <w:rFonts w:ascii="Times New Roman;Times;Serif" w:hAnsi="Times New Roman;Times;Serif"/>
          <w:b w:val="false"/>
          <w:i w:val="false"/>
          <w:caps w:val="false"/>
          <w:smallCaps w:val="false"/>
          <w:sz w:val="20"/>
          <w:u w:val="single"/>
        </w:rPr>
        <w:t>Asset Sale Offer</w:t>
      </w:r>
      <w:r>
        <w:rPr>
          <w:rFonts w:ascii="Times New Roman;Times;Serif" w:hAnsi="Times New Roman;Times;Serif"/>
          <w:b w:val="false"/>
          <w:i w:val="false"/>
          <w:caps w:val="false"/>
          <w:smallCaps w:val="false"/>
          <w:sz w:val="20"/>
        </w:rPr>
        <w:t>”), to purchase the maximum aggregate principal amount of the Notes and such Pari Passu Indebtedness that is in an amount equal to at least $2,000, that may be purchased out of the Excess Proceeds at an offer price in cash in an amount equal to 100.0% of the principal amount thereof (or accreted value thereof, if less), plus accrued and unpaid interest, if any, to the date fixed for the closing of such offer, in accordance with the procedures set forth in this Indenture. The Issuers will commence an Asset Sale Offer with respect to Excess Proceeds within 20 Business Days after the date that Excess Proceeds exceed $110,000,000 by delivering the notice required pursuant to the terms of this Indenture, with a copy to the Trustee. The Issuers may satisfy the foregoing obligations with respect to any Excess Proceeds from an Asset Sale by making an Asset Sale Offer with respect to such Excess Proceeds prior to the expiration of the relevant 365 days or with respect to Excess Proceeds of $110,000,000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that the aggregate amount of Notes and such Pari Passu Indebtedness tendered pursuant to an Asset Sale Offer is less than the Excess Proceeds, Parent and the Restricted Subsidiaries may use any remaining Excess Proceeds for any purpose not prohibited by this Indenture. If the aggregate principal amount of Notes or the Pari Passu Indebtedness surrendered by such holders thereof exceeds the amount of Excess Proceeds, the Trustee shall select the Notes and the Issuers shall select such Pari Passu Indebtedness to be purchased on a pro rata basis based on the accreted value or principal amount of the Notes or such Pari Passu Indebtedness tendered. Upon completion of any such Asset Sale Offer, the amount of Excess Proceeds that resulted in the Asset Sale Offer shall be reset to zero. Parent may satisfy the foregoing obligation with respect to any Net Cash Proceeds prior to the expiration of the relevant 365-day period (as such period may be extended in accordance with this Indenture). Nothing in this paragraph shall preclude the Issuers from making an Asset Sale Offer even if the amount of Excess Proceeds not previously subject to an Asset Sale Offer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covenant totals less than $110,000,000.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Pending the final application of any Net Cash Proceeds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the holder of such Net Cash Proceeds may apply such Net Cash Proceeds temporarily to reduce Indebtedness outstanding under a revolving Indebtedness under any Credit Facility or otherwise invest such Net Cash Proceeds in any manner not prohibited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Issuers will comply with the requirements of Rule 14e-1 under the Exchange Act and any other securities laws and regulations thereunder to the extent such laws or regulations are applicable in connection with the repurchase of the Notes pursuant to an Asset Sale Offer. To the extent that the provisions of any securities laws or regulations conflict with the provisions of this Indenture, the Issuers will comply with the applicable securities laws and regulations and shall not be deemed to have breached their obligations described in this Indenture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tab/>
        <w:t>     </w:t>
      </w:r>
      <w:r>
        <w:rPr>
          <w:rFonts w:ascii="Times New Roman;Times;Serif" w:hAnsi="Times New Roman;Times;Serif"/>
          <w:b w:val="false"/>
          <w:i w:val="false"/>
          <w:caps w:val="false"/>
          <w:smallCaps w:val="false"/>
          <w:sz w:val="20"/>
          <w:u w:val="single"/>
        </w:rPr>
        <w:t>Limitation on Transactions with Affiliates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the Issuers shall not, and shall not permit any of the Restricted Subsidiaries to, directly or indirectly, enter into, renew or extend any transaction (including the purchase, sale, lease or exchange of property or assets, or the rendering of any service) with any Holder (or any Affiliate of such Holder) of 10% or more of any class of Capital Stock of Parent or with any Affiliate of Parent or any Restricted Subsidiary, in each case involving consideration in excess of $22,000,000, except upon terms that are not materially less favorable to Parent or such Restricted Subsidiary than could be obtained, at the time of such transaction or, if such transaction is pursuant to a written agreement, at the time of the execution of the agreement providing therefor, in a comparable arm’s length transaction with a Person that is not such a Holder or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limitation set forth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does not limit, and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transactions (A) approved by a majority of the disinterested directors of the Board of Directors of Parent or (B) for which Parent or any Restricted Subsidiary delivers to the Trustee a written opinion of an independent qualified real estate appraisal firm or a nationally recognized investment banking, appraisal or accounting firm stating that the transaction is fair to Parent or such Restricted Subsidiary from a financial point of 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transaction solely between Parent and an Issuer, solely between Parent or an Issuer and any of their respective Restricted Subsidiaries or solely between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payment of reasonable fees and compensation (including through the issuance of Capital Stock) to, and indemnification and similar arrangements on behalf of, current, former or future directors, officers, employees or consultants of Parent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Restricted Payment not prohibited by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and Investments constituting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contracts, instruments or other agreements or arrangements in each case as in effect on the Issue Date, and any transactions pursuant thereto or contemplated thereby, or any amendment, modification or supplement thereto or any replacement thereof entered into from time to time, as long as such agreement or arrangements as so amended, modified, supplemented or replaced, taken as a whole, is not materially more disadvantageous to Parent and the Restricted Subsidiaries at the time executed than the original agreement or arrangements as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employment, consulting, service or termination agreement, or customary indemnification arrangements, entered into by Parent or any Restricted Subsidiary with current, former or future officers and employees of Parent or such Restricted Subsidiary and the payment of compensation to officers and employees of Parent or any Restricted Subsidiary (including amounts paid pursuant to employee benefit plans, employee stock option or similar plans),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loans and advances to officers and employees of Parent or any Restricted Subsidiary or Guarantees in respect thereof (or cancellation of such loans, advances or Guarantees), for bona fide business purposes, including for reasonable moving and relocation, entertainment and travel expenses and similar expenses,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transactions with a Person that is an Affiliate of Parent or an Issuer solely because Parent or a Restricted Subsidiary, directly or indirectly, owns Capital Stock of, or controls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transaction with a Person who is not an Affiliate immediately before the consummation of such transaction that becomes an Affiliate as a result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entering into or amending of any tax sharing, allocation or similar agreement and any payments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transactions with suppliers, joint venture partners, limited liability companies, other entities or purchasers or sellers of goods or services, in each case in the ordinary course of business and otherwise in compliance with this Indenture, which are fair to Parent and Issuers and the Restricted Subsidiaries in the reasonable determination of majority of the disinterested, independent directors of the Board of Directors of Parent, and are on terms that, taken as a whole, are not less favorable to Parent or the relevant Restricted Subsidiary than those that might reasonably have been obtained at such time from a Person that is not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[Reserved];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issuance and sale of Capital Stock (other than Disqualified Stock)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4.12(b)</w:t>
      </w:r>
      <w:r>
        <w:rPr>
          <w:rFonts w:ascii="Times New Roman;Times;Serif" w:hAnsi="Times New Roman;Times;Serif"/>
          <w:b w:val="false"/>
          <w:i w:val="false"/>
          <w:caps w:val="false"/>
          <w:smallCaps w:val="false"/>
          <w:sz w:val="20"/>
        </w:rPr>
        <w:t xml:space="preserve">, any transaction or series of related transactions covered by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and not covered by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aggregate amount of which exceeds $55,000,000 in value must be approved or determined to be fair in the manner provided for in </w:t>
      </w:r>
      <w:r>
        <w:rPr>
          <w:rFonts w:ascii="Times New Roman;Times;Serif" w:hAnsi="Times New Roman;Times;Serif"/>
          <w:b w:val="false"/>
          <w:i w:val="false"/>
          <w:caps w:val="false"/>
          <w:smallCaps w:val="false"/>
          <w:sz w:val="20"/>
          <w:u w:val="single"/>
        </w:rPr>
        <w:t>Section 4.12(b)(i)(A)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aggregate amount of which exceeds $110,000,000 in value must be determined to be fair in the manner provided for in </w:t>
      </w:r>
      <w:r>
        <w:rPr>
          <w:rFonts w:ascii="Times New Roman;Times;Serif" w:hAnsi="Times New Roman;Times;Serif"/>
          <w:b w:val="false"/>
          <w:i w:val="false"/>
          <w:caps w:val="false"/>
          <w:smallCaps w:val="false"/>
          <w:sz w:val="20"/>
          <w:u w:val="single"/>
        </w:rPr>
        <w:t>Section 4.12(b)(i)(B)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tab/>
        <w:t>     </w:t>
      </w:r>
      <w:r>
        <w:rPr>
          <w:rFonts w:ascii="Times New Roman;Times;Serif" w:hAnsi="Times New Roman;Times;Serif"/>
          <w:b w:val="false"/>
          <w:i w:val="false"/>
          <w:caps w:val="false"/>
          <w:smallCaps w:val="false"/>
          <w:sz w:val="20"/>
          <w:u w:val="single"/>
        </w:rPr>
        <w:t>Limitation on Dividend and Other Payment Restrictions Affecting 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Issuers shall not, and shall not permit any of their Restricted Subsidiaries to, create or otherwise cause or suffer to exist or become effective any consensual encumbrance or restriction of any kind on the ability of any such Restricted Subsidiary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 dividends or make any other distributions permitted by applicable law on any Capital Stock of such Restricted Subsidiary owned by an Issuer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pay any Indebtedness owed to an Issuer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make loans or advances to an Issuer or any of its Restricted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transfer its property or assets to an Issuer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shall not restrict any encumbrances or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existing under, by reason of or with respect to this Indenture, the Credit Agreement and any other agreement in effect on the Issue Date as in effect on the Issue Date, and any amendments, modifications, restatements, extensions, increases, supplements, refundings, refinancing, renewals or replacements of such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determination of the Board of Directors of Parent made in good faith (which determination will be conclusive and binding absent manifest error) the encumbrances and restrictions in any such amendments, modifications, restatements, extensions, increases, supplements, refundings, refinancing, renewals or replacements are not materially more restrictive, taken as a whole, than those contained in the Credit Agreement or such other agreements as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existing under, by reason of or with respect to any other Indebtedness of the Restricted Subsidiaries permitted under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Board of Directors of Parent has determined in good faith (which determination will be conclusive and binding absent manifest error) that the encumbrances and restrictions contained in the agreement or agreements governing the other Indebtedness are not materially more restrictive, taken as a whole, than those contained in customary comparable financings and will not impair in any material respect the Issuers’ and the Guarantors’ ability to make payments on the Notes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existing with respect to any Person or the property or assets of such Person acquired by an Issuer or any of its Restricted Subsidiaries, existing at the time of such acquisition and not Incurred in contemplation thereof, which encumbrances or restrictions are not applicable to any Person or the property or assets of any Person other than such Person or the property or assets of such Person so acquired and any amendments, modifications, restatements, extensions, increases, supplements, refundings, refinancing, renewals or replacements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encumbrances and restrictions in any such amendments, modifications, restatements, extensions, increases, supplements, refundings, refinancing, renewals or replacements are entered into in the ordinary course of business or not materially more restrictive, taken as a whole, than those contained in the instruments or agreements with respect to such Person or its property or assets as in effect on the date of such acquisition as determined by such Person in good faith (which determination will be conclusive and binding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existing under, by reason of or with respect to provisions in joint venture, operating or similar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existing under, by reason of or with respect to, this Indenture, the Notes or any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existing under, by reason of or with respect to applicable law, rule, regulation or administrative or court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Permitted Liens that limit the right of the debtor to dispose of the assets subject to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in the case of </w:t>
      </w:r>
      <w:r>
        <w:rPr>
          <w:rFonts w:ascii="Times New Roman;Times;Serif" w:hAnsi="Times New Roman;Times;Serif"/>
          <w:b w:val="false"/>
          <w:i w:val="false"/>
          <w:caps w:val="false"/>
          <w:smallCaps w:val="false"/>
          <w:sz w:val="20"/>
          <w:u w:val="single"/>
        </w:rPr>
        <w:t>Section 4.13(a)(iv)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restrict in a customary manner the subletting, assignment or transfer of any property or asset that is a lease, license, conveyance or contract or similar property or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existing by virtue of any transfer of, agreement to transfer, option or right with respect to, or Lien on, any property or assets of an Issuer or any of its Restricted Subsidiary not otherwise prohibited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existing under, by reason of or with respect to (1) purchase money obligations for property acquired in the ordinary course of business or (2) capital leases or operating leases that impose encumbrances or restrictions on the property so acquired or covered thereby,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arising or agreed to in the ordinary course of business, not relating to any Indebtedness, and that do not, individually or in the aggregate, detract from the value of property or assets of Parent or any of its Restricted Subsidiaries in any manner material to Parent and its Restricted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with respect to a Restricted Subsidiary that is a Subsidiary Guarantor that was previously an Unrestricted Subsidiary pursuant to or by reason of an agreement that such Subsidiary is a party to or entered into before the date on which such Subsidiary became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was not entered into in anticipation of an Unrestricted Subsidiary becoming a Restricted Subsidiary and any such encumbrance or restriction does not extend to any assets or property of the Issuers or any other Restricted Subsidiary other than the assets and property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with respect to a Restricted Subsidiary and imposed pursuant to an agreement that has been entered into for the sale or disposition of the Capital Stock of, or property and assets of, such Restricted Subsidiary that restricts distributions by that Restricted Subsidiary pending the closing of such sale or other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contained in any license, permit or other accreditation with a regulatory authority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on cash or other deposits (1) imposed by persons under contracts entered into in the ordinary course of business or for whose benefit such cash or deposit exists, (2) or in connection with net worth requirements imposed by customers under contracts entered into in the ordinary course of business or (3) that arise in connection with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contained in any trading, netting, operating, construction, service, supply, purchase, sale, or other agreement entered into in the ordinary course of business; provided such agreement restricts the encumbrance of solely the property or assets that are the subject of such agreement, the payment rights thereunder or the proceeds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any encumbrance or restriction of the type referred to in </w:t>
      </w:r>
      <w:r>
        <w:rPr>
          <w:rFonts w:ascii="Times New Roman;Times;Serif" w:hAnsi="Times New Roman;Times;Serif"/>
          <w:b w:val="false"/>
          <w:i w:val="false"/>
          <w:caps w:val="false"/>
          <w:smallCaps w:val="false"/>
          <w:sz w:val="20"/>
          <w:u w:val="single"/>
        </w:rPr>
        <w:t>Section 4.13(a)(i)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imposed by any extensions, refinancings, renewals or replacements of the contracts, instruments or obligations referred to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encumbrances and restrictions in any such extensions, refinancings renewals or replacements are no less favorable in any material respect, taken as a whole, to the holders than those encumbrances or restrictions that are being extended, refinanced, renewed or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Nothing contained in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shall prevent Parent or any Restricted Subsidiary from restricting the sale or other disposition of property or assets of Parent or any of its Restricted Subsidiaries that secure Indebtedness of the Issuers or any of their Restricted Subsidiaries. For purposes of determining compliance with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(1) the priority of any Preferred Stock in receiving dividends or liquidating distributions prior to distributions being paid on common stock shall not be deemed a restriction on the ability to make distributions on Capital Stock and (2) the subordination of loans or advances made to a Restricted Subsidiary to other Indebtedness Incurred by such Restricted Subsidiary shall not be deemed a restriction on the ability to make loans or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val="false"/>
          <w:caps w:val="false"/>
          <w:smallCaps w:val="false"/>
          <w:sz w:val="20"/>
          <w:u w:val="single"/>
        </w:rPr>
        <w:t>Future Guarantees by 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the Issuers will cause each Restricted Subsidiary that is not a Guarantor that borrows under or guarantees the Credit Agreement on the Issue Date, and any domestic Restricted Subsidiary that is not a Guarantor that borrows under or guarantees the Credit Agreement or any other Capital Markets Indebtedness, including, but not limited to, the Outstanding Senior Notes, thereafter, to, within 30 days thereof, execute and deliver to the Trustee a Supplemental Indenture substantially in the form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to this Indenture pursuant to which such Restricted Subsidiary will unconditionally Guarantee, on a joint and several basis, the full and prompt payment of the principal of, premium, if any, and interest in respect of the Notes on a senior basis and all other obligations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Subsidiary Guaranty shall provide by its terms that it shall be automatically and unconditionally released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any sale, exchange or transfer, to any Person that is not a Subsidiary of Parent or an Issuer of Capital Stock held by Parent or the Restricted Subsidiaries in, or all or substantially all the assets of, such Subsidiary Guarantor (which sale, exchange or transfer is not prohibited by this Indenture) such that, immediately after giving effect to such transaction, such Subsidiary Guarantor would no longer constitute a Subsidiary of Parent or an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the merger or consolidation of a Subsidiary Guarantor with (a) Parent, (b) an Issuer or (c) any other Subsidiary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surviving entity remains or becomes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Issuers properly designate any Subsidiary Guarantor as an Unrestricted Subsidiary pursuant to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Legal Defeasance or Covenant Defeasance or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a liquidation or dissolution of a Subsidiary Guarantor permitted under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upon the release or discharge of the Guaranty or Indebtedness that resulted in the creation of such Subsidiary Guaranty and any other Guaranty by such Subsidiary of the Credit Agreement and any other Capital Markets Indebtedness, except a discharge or release by or as a result of payment under such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any Subsidiary Guaranty shall be automatically and unconditionally released and discharged if such Subsidiary ceases to guarantee obligations under the Credit Agreement or ceases to constitute a co-borrower with respect to the Credit Agreement and all guarantees with respect to other Capital Markets Indebtedness are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Reports to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Whether or not Opco is then required to file reports with the SEC, Opco shall file with the SEC all such reports and other information as it would be required to file with the SEC by Sections 13(a) or 15(d) under the Exchange Act if it was subject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filing such documents by Opco with the SEC is not permitted under the Exchange Act, Opco shall, within 15 days after the time Opco would be required to file such information with the SEC if it were subject to Section 13 or 15(d) under the Exchange Act, provide such documents and reports to the Trustee and upon written request supply copies of such documents and reports to any Holder and shall post such documents and reports on Opco’s or Parent’s public website. Opco shall supply the Trustee and each Holder or shall supply to the Trustee for forwarding to each such Holder upon such holder’s written request, without cost to such Holder, copies of such reports and other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filing of such reports and other information with the SEC through EDGAR (or any successor electronic reporting system of the SEC accessible to the public without charge) constitutes delivery to the Trustee for purposes of this sentence. Delivery of such information, documents and reports to the Trustee is for informational purposes only and the Trustee’s receipt of such shall not constitute constructive notice of any information contained therein or determinable from information contained therein, including the Issuers’ compliance with any of their covenants hereunder (as to which the Trustee is entitled to rely exclusively on Officer’s Certificates). The Trustee is not obligated to confirm that Opco has complied with its obligations contained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to provide such reports or post such reports and information on its or its Parent’s public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So long as Parent is a Guarantor of the Notes, this Indenture will permit Opco to satisfy its obligations under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with respect to filing, furnishing, providing or posting documents, reports and other information relating to Opco by Parent’s filing, furnishing, providing or posting, as the case may be, of such documents, reports and other information relating to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then required in Parent’s reports, the same is accompanied by consolidating information that explains in reasonable detail and in the same manner described in the Offering Memorandum the differences between the information relating to Parent and its consolidated Subsidiaries on the one hand, and the information relating to Parent, the Issuers and the Subsidiary Guarantors on a standalone basis, on the other hand, as of the ending date of the period covered by such report, which consolidating information shall be presented in accordance with Rule 3-10 of Regulation S-X under the Securities Act, or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herein to the contrary, the Issuers will not be deemed to have failed to comply with any of their obligations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Section 6.01(e)</w:t>
      </w:r>
      <w:r>
        <w:rPr>
          <w:rFonts w:ascii="Times New Roman;Times;Serif" w:hAnsi="Times New Roman;Times;Serif"/>
          <w:b w:val="false"/>
          <w:i w:val="false"/>
          <w:caps w:val="false"/>
          <w:smallCaps w:val="false"/>
          <w:sz w:val="20"/>
        </w:rPr>
        <w:t> until 120 days after the receipt of the written notice delivered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any information is not provided within the time periods specified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and such information is subsequently provided, the Issuers will be deemed to have satisfied their obligations with respect thereto at such time and any Default with respect thereto shall be deemed to have been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w:t>
      </w:r>
      <w:r>
        <w:rPr>
          <w:rFonts w:ascii="Times New Roman;Times;Serif" w:hAnsi="Times New Roman;Times;Serif"/>
          <w:b w:val="false"/>
          <w:i w:val="false"/>
          <w:caps w:val="false"/>
          <w:smallCaps w:val="false"/>
          <w:sz w:val="20"/>
          <w:u w:val="single"/>
        </w:rPr>
        <w:t>Suspension of Covenants</w:t>
      </w:r>
      <w:r>
        <w:rPr>
          <w:rFonts w:ascii="Times New Roman;Times;Serif" w:hAnsi="Times New Roman;Times;Serif"/>
          <w:b w:val="false"/>
          <w:i w:val="false"/>
          <w:caps w:val="false"/>
          <w:smallCaps w:val="false"/>
          <w:sz w:val="20"/>
        </w:rPr>
        <w:t xml:space="preserve">. During a Suspension Period, Parent and the Restricted Subsidiaries shall not be subject to </w:t>
      </w:r>
      <w:r>
        <w:rPr>
          <w:rFonts w:ascii="Times New Roman;Times;Serif" w:hAnsi="Times New Roman;Times;Serif"/>
          <w:b w:val="false"/>
          <w:i w:val="false"/>
          <w:caps w:val="false"/>
          <w:smallCaps w:val="false"/>
          <w:sz w:val="20"/>
          <w:u w:val="single"/>
        </w:rPr>
        <w:t>Sections 4.08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5.01(a)(iii)</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Suspended Covenant</w:t>
      </w:r>
      <w:r>
        <w:rPr>
          <w:rFonts w:ascii="Times New Roman;Times;Serif" w:hAnsi="Times New Roman;Times;Serif"/>
          <w:b w:val="false"/>
          <w:i w:val="false"/>
          <w:caps w:val="false"/>
          <w:smallCaps w:val="false"/>
          <w:sz w:val="20"/>
        </w:rPr>
        <w:t xml:space="preserve">”). During any Suspension Period, each Guaranty pursuant to </w:t>
      </w:r>
      <w:r>
        <w:rPr>
          <w:rFonts w:ascii="Times New Roman;Times;Serif" w:hAnsi="Times New Roman;Times;Serif"/>
          <w:b w:val="false"/>
          <w:i w:val="false"/>
          <w:caps w:val="false"/>
          <w:smallCaps w:val="false"/>
          <w:sz w:val="20"/>
          <w:u w:val="single"/>
        </w:rPr>
        <w:t xml:space="preserve">Article X </w:t>
      </w:r>
      <w:r>
        <w:rPr>
          <w:rFonts w:ascii="Times New Roman;Times;Serif" w:hAnsi="Times New Roman;Times;Serif"/>
          <w:b w:val="false"/>
          <w:i w:val="false"/>
          <w:caps w:val="false"/>
          <w:smallCaps w:val="false"/>
          <w:sz w:val="20"/>
        </w:rPr>
        <w:t>shall also be suspended. All other provisions of this Indenture will apply at all times during any Suspension Period so long as any Notes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means any period (1) beginning on the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have Investment Grade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or Event of Default has occurred and is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Issuers have delivered an Officer’s Certificate to the Trustee certifying that the conditions set forth in clauses (A) and (B) above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(2) ending on the date (any such date, a “</w:t>
      </w:r>
      <w:r>
        <w:rPr>
          <w:rFonts w:ascii="Times New Roman;Times;Serif" w:hAnsi="Times New Roman;Times;Serif"/>
          <w:b w:val="false"/>
          <w:i w:val="false"/>
          <w:caps w:val="false"/>
          <w:smallCaps w:val="false"/>
          <w:sz w:val="20"/>
          <w:u w:val="single"/>
        </w:rPr>
        <w:t>Reversion Date</w:t>
      </w:r>
      <w:r>
        <w:rPr>
          <w:rFonts w:ascii="Times New Roman;Times;Serif" w:hAnsi="Times New Roman;Times;Serif"/>
          <w:b w:val="false"/>
          <w:i w:val="false"/>
          <w:caps w:val="false"/>
          <w:smallCaps w:val="false"/>
          <w:sz w:val="20"/>
        </w:rPr>
        <w:t>”) that the Notes cease to have Investment Grade Status, notice of which shall be provided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each Reversion Date, all dividend blockages Incurred during the Suspension Period prior to such Reversion Date shall be deemed to have been outstanding on the Issue Date. On each Reversion Date, all Indebtedness Incurred during the Suspension Period will be classified as having been Incurred in compliance with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(to the extent such Indebtedness would be permitted to be Incurred on the Reversion Date and after giving effect to Indebtedness Incurred prior to the Suspension Period and outstanding on the Reversion Date) or, to the extent such Indebtedness would not be so permitted to be Incurred in compliance with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as of the Reversion Date, such Indebtedness will be classified as having been Incurred pursuant to </w:t>
      </w:r>
      <w:r>
        <w:rPr>
          <w:rFonts w:ascii="Times New Roman;Times;Serif" w:hAnsi="Times New Roman;Times;Serif"/>
          <w:b w:val="false"/>
          <w:i w:val="false"/>
          <w:caps w:val="false"/>
          <w:smallCaps w:val="false"/>
          <w:sz w:val="20"/>
          <w:u w:val="single"/>
        </w:rPr>
        <w:t>Section 4.08(d)(vii)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calculating the amount available to be made as Restricted Payments under </w:t>
      </w:r>
      <w:r>
        <w:rPr>
          <w:rFonts w:ascii="Times New Roman;Times;Serif" w:hAnsi="Times New Roman;Times;Serif"/>
          <w:b w:val="false"/>
          <w:i w:val="false"/>
          <w:caps w:val="false"/>
          <w:smallCaps w:val="false"/>
          <w:sz w:val="20"/>
          <w:u w:val="single"/>
        </w:rPr>
        <w:t>Section 4.09(a)(iii)</w:t>
      </w:r>
      <w:r>
        <w:rPr>
          <w:rFonts w:ascii="Times New Roman;Times;Serif" w:hAnsi="Times New Roman;Times;Serif"/>
          <w:b w:val="false"/>
          <w:i w:val="false"/>
          <w:caps w:val="false"/>
          <w:smallCaps w:val="false"/>
          <w:sz w:val="20"/>
        </w:rPr>
        <w:t xml:space="preserve">, calculations under that clause shall be made with reference to the Transaction Date, as set forth in that clause. Accordingly, (x) Restricted Payments made during the Suspension Period not otherwise permitted pursuant to any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(xvi)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shall reduce the amount available to be made as Restricted Payments under </w:t>
      </w:r>
      <w:r>
        <w:rPr>
          <w:rFonts w:ascii="Times New Roman;Times;Serif" w:hAnsi="Times New Roman;Times;Serif"/>
          <w:b w:val="false"/>
          <w:i w:val="false"/>
          <w:caps w:val="false"/>
          <w:smallCaps w:val="false"/>
          <w:sz w:val="20"/>
          <w:u w:val="single"/>
        </w:rPr>
        <w:t>Section 4.09(a)(iv)(3)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amount available to be made as a Restricted Payment on the Transaction Date shall not be reduced to below zero solely as a result of such Restricted Payments, but may be reduced to below zero as a result of negative cumulative Funds From Operations during the Suspension Period for the purpose of </w:t>
      </w:r>
      <w:r>
        <w:rPr>
          <w:rFonts w:ascii="Times New Roman;Times;Serif" w:hAnsi="Times New Roman;Times;Serif"/>
          <w:b w:val="false"/>
          <w:i w:val="false"/>
          <w:caps w:val="false"/>
          <w:smallCaps w:val="false"/>
          <w:sz w:val="20"/>
          <w:u w:val="single"/>
        </w:rPr>
        <w:t>Section 4.09(a)(iv)(3)(A)</w:t>
      </w:r>
      <w:r>
        <w:rPr>
          <w:rFonts w:ascii="Times New Roman;Times;Serif" w:hAnsi="Times New Roman;Times;Serif"/>
          <w:b w:val="false"/>
          <w:i w:val="false"/>
          <w:caps w:val="false"/>
          <w:smallCaps w:val="false"/>
          <w:sz w:val="20"/>
        </w:rPr>
        <w:t xml:space="preserve">, and (y) the items specified in </w:t>
      </w:r>
      <w:r>
        <w:rPr>
          <w:rFonts w:ascii="Times New Roman;Times;Serif" w:hAnsi="Times New Roman;Times;Serif"/>
          <w:b w:val="false"/>
          <w:i w:val="false"/>
          <w:caps w:val="false"/>
          <w:smallCaps w:val="false"/>
          <w:sz w:val="20"/>
          <w:u w:val="single"/>
        </w:rPr>
        <w:t>Sections 4.09(a)(iv)(3)(A)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that occur during the Suspension Period shall increase the amount available to be made as Restricted Payments under </w:t>
      </w:r>
      <w:r>
        <w:rPr>
          <w:rFonts w:ascii="Times New Roman;Times;Serif" w:hAnsi="Times New Roman;Times;Serif"/>
          <w:b w:val="false"/>
          <w:i w:val="false"/>
          <w:caps w:val="false"/>
          <w:smallCaps w:val="false"/>
          <w:sz w:val="20"/>
          <w:u w:val="single"/>
        </w:rPr>
        <w:t>Section 4.09(a)(iv)(3)</w:t>
      </w:r>
      <w:r>
        <w:rPr>
          <w:rFonts w:ascii="Times New Roman;Times;Serif" w:hAnsi="Times New Roman;Times;Serif"/>
          <w:b w:val="false"/>
          <w:i w:val="false"/>
          <w:caps w:val="false"/>
          <w:smallCaps w:val="false"/>
          <w:sz w:val="20"/>
        </w:rPr>
        <w:t xml:space="preserve">. Any Restricted Payment made during the Suspension Period that is of the type described in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(other than the Restricted Payment referred to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or any exchange for, or out of the proceeds of Capital Stock for Capital Stock or Indebtedness referred to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and the Net Cash Proceeds from any issuance of Capital Stock referred to in </w:t>
      </w:r>
      <w:r>
        <w:rPr>
          <w:rFonts w:ascii="Times New Roman;Times;Serif" w:hAnsi="Times New Roman;Times;Serif"/>
          <w:b w:val="false"/>
          <w:i w:val="false"/>
          <w:caps w:val="false"/>
          <w:smallCaps w:val="false"/>
          <w:sz w:val="20"/>
          <w:u w:val="single"/>
        </w:rPr>
        <w:t>clauses (iv)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(adjusted to avoid double counting) shall not be included in calculating the amounts permitted to be Incurred under </w:t>
      </w:r>
      <w:r>
        <w:rPr>
          <w:rFonts w:ascii="Times New Roman;Times;Serif" w:hAnsi="Times New Roman;Times;Serif"/>
          <w:b w:val="false"/>
          <w:i w:val="false"/>
          <w:caps w:val="false"/>
          <w:smallCaps w:val="false"/>
          <w:sz w:val="20"/>
          <w:u w:val="single"/>
        </w:rPr>
        <w:t>Section 4.09(a)(iv)(3)</w:t>
      </w:r>
      <w:r>
        <w:rPr>
          <w:rFonts w:ascii="Times New Roman;Times;Serif" w:hAnsi="Times New Roman;Times;Serif"/>
          <w:b w:val="false"/>
          <w:i w:val="false"/>
          <w:caps w:val="false"/>
          <w:smallCaps w:val="false"/>
          <w:sz w:val="20"/>
        </w:rPr>
        <w:t> on each Reversion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on each Reversion Date, the unutilized Excess Proceeds shall be reset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no Default or Event of Default shall be deemed to have occurred on the Reversion Date (or thereafter) under any Suspended Covenant solely as a result of any actions taken by Parent or any Restricted Subsidiaries thereof, or events occurring, during the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to (i) independently determine or verify if a Suspension Period or a Reversion Date has occurred, (ii) make any determination regarding the impact of actions taken during the Suspension Period on Parent and its Restricted Subsidiaries’ future compliance with covenants or (iii) notify Holders of the commencement of the Suspension Period or the Reversion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w:t>
      </w:r>
      <w:r>
        <w:rPr>
          <w:rFonts w:ascii="Times New Roman;Times;Serif" w:hAnsi="Times New Roman;Times;Serif"/>
          <w:b w:val="false"/>
          <w:i w:val="false"/>
          <w:caps w:val="false"/>
          <w:smallCaps w:val="false"/>
          <w:sz w:val="20"/>
          <w:u w:val="single"/>
        </w:rPr>
        <w:t>Limitation on Activities of Finco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Finco may not hold any material assets, become liable for any material obligations, engage in any trade or business, or conduct any business activity, other than (1) the issuance of its Capital Stock to Opco or any Wholly Owned Restricted Subsidiary of Opco, (2) the Incurrence of Indebtedness as a co-obligor or guarantor, as the case may be, of the Notes, the Credit Agreement and any other Indebtedness that is permitted to be Incurred under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net proceeds of such Indebtedness are not retained by Finco, and (3) activities incidental thereto. Neither Parent nor any Restricted Subsidiary shall engage in any transaction with Finco in violation of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w:t>
      </w:r>
      <w:r>
        <w:rPr>
          <w:rFonts w:ascii="Times New Roman;Times;Serif" w:hAnsi="Times New Roman;Times;Serif"/>
          <w:b w:val="false"/>
          <w:i w:val="false"/>
          <w:caps w:val="false"/>
          <w:smallCaps w:val="false"/>
          <w:sz w:val="20"/>
          <w:u w:val="single"/>
        </w:rPr>
        <w:t>Financial Calculations for Limited Condition Transactions</w:t>
      </w:r>
      <w:r>
        <w:rPr>
          <w:rFonts w:ascii="Times New Roman;Times;Serif" w:hAnsi="Times New Roman;Times;Serif"/>
          <w:b w:val="false"/>
          <w:i w:val="false"/>
          <w:caps w:val="false"/>
          <w:smallCaps w:val="false"/>
          <w:sz w:val="20"/>
        </w:rPr>
        <w:t>. In connection with any Limited Condition Transaction (including any financing thereof), at the Issuers’ election, (a) compliance with any requirement relating to the absence of a Default or Event of Default may be determined as of the date a definitive agreement for such Limited Condition Transaction is entered into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and not as of any later date as would otherwise be required under this Indenture, and (b) any calculation contemplated by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or any amount based on a percentage of Consolidated EBITDA or any other determination under any basket or ratio under this Indenture, may be made as of such effective date, giving pro forma effect to such Limited Condition Transaction and any related transactions (including any incurrence of Indebtedness and the use of proceeds thereof) as if they had occurred at the beginning of the most recent test period ending prior to the effective date. If the Issuers make such an election, any subsequent calculation of any such ratio, basket and/or percentage (unless the definitive agreement for such Limited Condition Transaction expires or is terminated without its consummation) shall be calculated on an equivalent pro forma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if financial statements for one or more subsequent fiscal quarters shall have become available, the Issuers may elect, in their sole discretion, to re-determine all such calculations, baskets or ratios on the basis of such financial statements, in which case such date of redetermination shall thereafter be deemed to be the applicable effective date for purposes of such calculations, baskets or ratios or (b) if any ratios or calculations improve or baskets increase, such improved ratios, calculations or baskets may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Consolidation, Merger and Sale of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Parent nor any Issuer shall consolidate with or merge with or into, or sell, convey, transfer or otherwise dispose of all or substantially of it and its Restricted Subsidiaries’ (taken as a whole) property and assets (as an entirety or substantially an entirety in one transaction or a series of related transactions) to, any Person or permit any Person (other than a Restricted Subsidiary) to merge with or into it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or such Issuer shall be the continuing Person, or the Person (if other than Parent or such Issuer) formed by such consolidation or into which Parent or such Issuer is merged or that acquired such property and assets of Parent or such Issuer shall be a corporation, limited liability company, partnership (including a limited partnership) or trust organized and validly existing under the laws of the United States of America or any state or jurisdiction thereof and shall expressly assume, by a supplemental indenture, executed and delivered to the Trustee, all of the obligations of Parent or such Issuer with respect to the Notes and under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 limited liability company, partnership (including a limited partnership) or trust, there shall also be a corporation organized and validly existing under the laws of the United States of America or any state or jurisdiction thereof that shall expressly jointly with such limited liability company, partnership (including a limited partnership) or trust, assume, by a supplemental indenture, executed and delivered to the Trustee, all of the obligations of such Issuer with respect to the Notes and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immediately after giving effect to such transaction and any related financing transactions as if the same had occurred at the beginning of the applicable four quarter period, on a pro forma basis Parent or the Issuers, or any Person becoming the successor obligor of the Notes, as the case may be, (a) could Incur at least $1.00 of Indebtedness under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the ratios in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4.08(c)</w:t>
      </w:r>
      <w:r>
        <w:rPr>
          <w:rFonts w:ascii="Times New Roman;Times;Serif" w:hAnsi="Times New Roman;Times;Serif"/>
          <w:b w:val="false"/>
          <w:i w:val="false"/>
          <w:caps w:val="false"/>
          <w:smallCaps w:val="false"/>
          <w:sz w:val="20"/>
        </w:rPr>
        <w:t xml:space="preserve"> are greater than or equal to the ratios immediately prior to such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shall not apply to a consolidation or merger with or into Parent, an Issuer or a Wholly Owned Restricted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Issuers deliver to the Trustee an Officer’s Certificate (attaching the arithmetic computations to demonstrate compliance with clause (iii) above if applicable) and an Opinion of Counsel, in each case stating that such consolidation, merger or transfer and such supplemental indenture complies with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and that all conditions precedent provided for herein relating to such transaction have been complied with and, with respect to the Opinion of Counsel, that the supplemental indenture constitutes a valid and binding obligation enforceable against the Issuers, or the Person (if other than Parent or an Issuer) formed by such consolidation or into which such Issuer is merged or that acquired all or substantially all property and assets of Parent and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does not apply if, in the good faith determination of the Board of Directors of Parent, whose determination shall be evidenced by a Board Resolution, the principal purpose of such transaction is to change the state of domicile of Parent or an Issuer;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however, that any such transaction shall not have as one of its purposes the evasion of the foregoing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the Issuers shall not permit any Subsidiary Guarantor to consolidate with or merge with or into, or convey or transfer, in one transaction or a series of transactions, all or substantially all of its property and assets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resulting, surviving or transferee Person (if not such Subsidiary) shall be a Person organized and existing under the laws of the jurisdiction under which such Subsidiary was organized or under the laws of the United States of America, or any State thereof or the District of Columbia, and such Person shall expressly assume, by a supplemental indenture, all the obligations of such Subsidiary Guarantor, if any, under the Notes or its Subsidiary Guaranty,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requirement shall not apply in the case of a Subsidiary Guarantor (x) that has been disposed of in its entirety to another Person (other than to Parent or an Issuer or an Affiliate of Parent or an Issuer), whether through a merger, consolidation or sale of Capital Stock or assets or (y) that, as a result of the disposition of all or a portion of its Capital Stock, ceases to be a Subsidiary, so long as, in both cases, in connection therewith the Issuers provide an Officer’s Certificate to the Trustee to the effect that the Issuers will comply with their obligations under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or transactions on a pro forma basis (and treating any Indebtedness that becomes an obligation of the resulting, surviving or transferee Person as a result of such transaction as having been issued by such Person at the time of such transaction), no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Issuers deliver to the Trustee an Officer’s Certificate and an Opinion of Counsel, each stating that such consolidation, merger or transfer and such supplemental indenture, if any, complies with this Indenture and, with respect to the Opinion of Counsel, that the supplemental indenture constitutes a valid and binding obligation enforceable against the Issuers, the Subsidiary Guarantors, Parent and the surviving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any Subsidiary Guarantor may (i) merge with an Affiliate of Parent or an Affiliate of a Restricted Subsidiary or another Subsidiary Guarantor solely for the purpose of changing the state of domicile of the Subsidiary Guarantor, (ii) merge with or into or transfer all or part of its properties and assets to another Subsidiary Guarantor, a Parent or the Issuers or (iii) convert into a corporation, partnership, limited partnership, limited liability company or trust organized under the laws of the jurisdiction of organization of such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any such consolidation, combination or merger of an Issuer or a Guarantor, or any such sale, conveyance, transfer or other disposition of all or substantially all of the assets of an Issuer in accordance with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in which such Issuer or such Guarantor is not the continuing obligor under the Notes or its Guaranty, the surviving entity formed by such consolidation or into which such Issuer or such Guarantor is merged or the entity to which the sale, conveyance, transfer or other disposition is made shall succeed to, and be substituted for, and may exercise every right and power of, such Issuer or such Guarantor under this Indenture, the Notes and such Guaranty with the same effect as if such surviving entity had been named therein as such Issuer or such Guarantor and such Issuer or such Guarantor, as the case may be, shall be released from the obligation to pay the principal of and interest on the Notes or in respect of its Guaranty, as the case may be, and all of such Issuer’s or such Guarantor’s other obligations and covenants under the Notes, this Indenture and its Guaranty,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DEFAULT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is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principal of, or premium, if any, on any Note when they are due and payable at maturity, upon acceleration,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interest on any Note when due and payable, and such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or Restricted Subsidiaries do not comply with their obligations under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Issuers fail to make or consummate a Change of Control Offer following a Change of Control Triggering Event when required under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Parent or Restricted Subsidiaries default in the performance of or breach any other covenant or agreement of Parent or the Restricted Subsidiaries in this Indenture or under the Notes (other than a default specified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above) and such default or breach continues for 60 consecutive days after written notice by the Trustee or the Holders of 25% or more in aggregate principal amount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occurs with respect to any issue or issues of Indebtedness of Parent, an Issuer or any Significant Subsidiary having an outstanding principal amount of $110,000,000 or more in the aggregate for all such issues of all such Persons, whether such Indebtedness now exists or shall hereafter be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event of default that has caused the Holder thereof to declare such Indebtedness to be due and payable prior to its Stated Maturity and such acceleration has not been rescinded or annulled within 30 days of such acceleration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failure to make a principal payment at the final (but not any interim) fixed maturity and such defaulted payment shall not have been made, waived or extended within 30 days of such payment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final and non-appealable judgment or order for the payment of money (not covered by insurance) in excess of $110,000,000 in the aggregate for all such final judgments or orders against all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be rendered against Parent, an Issuer or any Significant Subsidiary and shall not be paid or discharged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be any period of 60 consecutive days following entry of the final judgment or order that causes the aggregate amount for all such final judgments or orders outstanding and not paid or discharged against all such Persons to exceed $110,000,000 during which a stay of enforcement of such final judgment or order, by reason of a pending appeal or otherwise, shall not be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court of competent jurisdiction enters a decree or order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relief in respect of Parent, an Issuer or any Significant Subsidiary in an involuntary case under any applicable Bankruptcy Law now or hereafter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appointment of a receiver, liquidator, assignee, custodian, trustee, sequestrator or similar official of Parent, an Issuer or any Significant Subsidiary or for all or substantially all of the property and assets of an Issuer or any Significant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winding up or liquidation of the affairs of Parent, an Issuer or any Significant Subsidiary and, in each case, such decree or order shall remain unstayed and in effect for a period of 60 consecutive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an Issuer or any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 under any applicable Bankruptcy Law now or hereafter in effect, or consents to the entry of an order for relief in an involuntary case under such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appointment of or taking possession by a receiver, liquidator, assignee, custodian, trustee, sequestrator or similar official of Parent, an Issuer or such Significant Subsidiary or for all or substantially all of the property and assets of Parent, an Issuer or such Significant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effects any general assignment for the benefit of its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xml:space="preserve">. If an Event of Default (other than an Event of Default specified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that occurs with respect to an Issuer) occurs and is continuing under this Indenture, the Trustee or the Holders of at least 25% in aggregate principal amount of the Notes then outstanding, by written notice to the Issuers (and to the Trustee if such notice is given by the Holders), may, and the Trustee at the request of the Holders of at least 25% in aggregate principal amount of the Notes then outstanding shall, declare the principal of, premium, if any, and accrued interest on the Notes to be immediately due and payable. Upon a declaration of acceleration, such principal of, premium, if any, and accrued interest shall be immediately due and payable. In the event of a declaration of acceleration because an Event of Default set forth in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has occurred and is continuing, such declaration of acceleration shall be automatically rescinded and annulled if the event of default triggering such Event of Default pursuant to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be remedied or cured by Parent or the relevant Issuer or Significant Subsidiary or waived by the holders of the relevant Indebtedness within 60 days after the declaration of acceleration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specified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occurs with respect to Parent or an Issuer, the principal of, premium, if any, and accrued interest on the Notes then outstanding shall automatically become and be immediately due and payable without any declaration or other act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a majority in principal amount of the outstanding Notes by written notice to the Issuers and to the Trustee may waive all past Defaults and rescind and annul a declaration of acceleration and its consequences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existing Events of Default, other than the nonpayment of the principal of, premium, if any, and interest on the Notes that have become due solely by such declaration of acceleration, have been cured or waived;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rescission would not conflict with any judgment or decree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notice of any Default may not be given with respect to any action taken, and reported publicly or to Holders in reasonable detail and good faith, more than two years prior to such notice of any Default, and any time period in this Indenture to cure any actual or alleged Default or Event of Default may be extended or stayed by a court of competent jurisdiction. In addition, any notice of any Default or notice of acceleration or instruction to the Trustee to provide a notice of any Default or notice of acceleration or take any other action (a “</w:t>
      </w:r>
      <w:r>
        <w:rPr>
          <w:rFonts w:ascii="Times New Roman;Times;Serif" w:hAnsi="Times New Roman;Times;Serif"/>
          <w:b w:val="false"/>
          <w:i w:val="false"/>
          <w:caps w:val="false"/>
          <w:smallCaps w:val="false"/>
          <w:sz w:val="20"/>
          <w:u w:val="single"/>
        </w:rPr>
        <w:t>Noteholder Direction</w:t>
      </w:r>
      <w:r>
        <w:rPr>
          <w:rFonts w:ascii="Times New Roman;Times;Serif" w:hAnsi="Times New Roman;Times;Serif"/>
          <w:b w:val="false"/>
          <w:i w:val="false"/>
          <w:caps w:val="false"/>
          <w:smallCaps w:val="false"/>
          <w:sz w:val="20"/>
        </w:rPr>
        <w:t>”) provided by any one or more Holders (each a “</w:t>
      </w:r>
      <w:r>
        <w:rPr>
          <w:rFonts w:ascii="Times New Roman;Times;Serif" w:hAnsi="Times New Roman;Times;Serif"/>
          <w:b w:val="false"/>
          <w:i w:val="false"/>
          <w:caps w:val="false"/>
          <w:smallCaps w:val="false"/>
          <w:sz w:val="20"/>
          <w:u w:val="single"/>
        </w:rPr>
        <w:t>Directing Holder</w:t>
      </w:r>
      <w:r>
        <w:rPr>
          <w:rFonts w:ascii="Times New Roman;Times;Serif" w:hAnsi="Times New Roman;Times;Serif"/>
          <w:b w:val="false"/>
          <w:i w:val="false"/>
          <w:caps w:val="false"/>
          <w:smallCaps w:val="false"/>
          <w:sz w:val="20"/>
        </w:rPr>
        <w:t>”) must be accompanied by a written representation from each such Holder to the Issuers and the Trustee that such Holder is not (or, in the case such Holder is the Depository Trust Company or its nominee, that such Holder is being instructed solely by beneficial owners that are not) Net Short (a “</w:t>
      </w:r>
      <w:r>
        <w:rPr>
          <w:rFonts w:ascii="Times New Roman;Times;Serif" w:hAnsi="Times New Roman;Times;Serif"/>
          <w:b w:val="false"/>
          <w:i w:val="false"/>
          <w:caps w:val="false"/>
          <w:smallCaps w:val="false"/>
          <w:sz w:val="20"/>
          <w:u w:val="single"/>
        </w:rPr>
        <w:t>Position Representation</w:t>
      </w:r>
      <w:r>
        <w:rPr>
          <w:rFonts w:ascii="Times New Roman;Times;Serif" w:hAnsi="Times New Roman;Times;Serif"/>
          <w:b w:val="false"/>
          <w:i w:val="false"/>
          <w:caps w:val="false"/>
          <w:smallCaps w:val="false"/>
          <w:sz w:val="20"/>
        </w:rPr>
        <w:t>”), which representation, in the case of a Noteholder Direction relating to a notice of any Default (a “</w:t>
      </w:r>
      <w:r>
        <w:rPr>
          <w:rFonts w:ascii="Times New Roman;Times;Serif" w:hAnsi="Times New Roman;Times;Serif"/>
          <w:b w:val="false"/>
          <w:i w:val="false"/>
          <w:caps w:val="false"/>
          <w:smallCaps w:val="false"/>
          <w:sz w:val="20"/>
          <w:u w:val="single"/>
        </w:rPr>
        <w:t>Default Direction</w:t>
      </w:r>
      <w:r>
        <w:rPr>
          <w:rFonts w:ascii="Times New Roman;Times;Serif" w:hAnsi="Times New Roman;Times;Serif"/>
          <w:b w:val="false"/>
          <w:i w:val="false"/>
          <w:caps w:val="false"/>
          <w:smallCaps w:val="false"/>
          <w:sz w:val="20"/>
        </w:rPr>
        <w: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in order to verify the accuracy of such Holder’s Position Representation within five Business Days of any request therefor (a “</w:t>
      </w:r>
      <w:r>
        <w:rPr>
          <w:rFonts w:ascii="Times New Roman;Times;Serif" w:hAnsi="Times New Roman;Times;Serif"/>
          <w:b w:val="false"/>
          <w:i w:val="false"/>
          <w:caps w:val="false"/>
          <w:smallCaps w:val="false"/>
          <w:sz w:val="20"/>
          <w:u w:val="single"/>
        </w:rPr>
        <w:t>Verification Covenant</w:t>
      </w:r>
      <w:r>
        <w:rPr>
          <w:rFonts w:ascii="Times New Roman;Times;Serif" w:hAnsi="Times New Roman;Times;Serif"/>
          <w:b w:val="false"/>
          <w:i w:val="false"/>
          <w:caps w:val="false"/>
          <w:smallCaps w:val="false"/>
          <w:sz w:val="20"/>
        </w:rPr>
        <w:t>”). In any case in which the Holder is the Depository Trust Company or its nominee, any Position Representation or Verification Covenant required hereunder shall be provided by the beneficial owner of the Notes in lieu of the Depository Trust Company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Issuers determine in good faith that there is a reasonable basis to believe a Directing Holder was, at any relevant time, in breach of its Position Representation and provides to the Trustee evidence that the Issuers have filed papers with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Event of Default shall be automatically stayed pending a final and non-appealable determination of a court of competent jurisdiction on such matter. If, following the delivery of a Noteholder Direction, but prior to acceleration of the Notes, the Issuers provide to the Trustee an Officer’s Certificate stating that a Directing Holder failed to satisfy its Verification Covenant, the cure period with respect to any Event of Default that resulted from the applicable Noteholder Direction shall be automatically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Issuers, any Holder or any other Person in acting in good faith on a Noteholder Direction. Further, for the avoidance of doubt, the requirements of this paragraph shall only apply to Noteholder Directions as defined herein and do not apply to any other directions given by Holders given to the Trustee under this Indenture. Each Holder and subsequent purchaser of the Notes waives any and all claims, in law and/or in equity, against the Trustee and agrees not to commence any legal proceeding against the Trustee in respect of, and agrees that the Trustee will not be liable for any action that the Trustee takes in accordance with this section, or arising out of or in connection with following instructions or taking actions in accordance with a Noteholder Direction. Each Issuer hereby waives any and all claims, in law and/or in equity, against the Trustee, and agrees not to commence any legal proceeding against the Trustee in respect of, and agrees that the Trustee will not be liable for any action that the Trustee takes in accordance with this section/subsection, or arising out of or in connection with following instructions or taking actions in accordance with a Noteholder Direction. The Trustee shall have no liability whatsoever for acting in accordance with the requirements of this section and may conclusively rely on such Position Representation without any duty of further verification or inquiry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Other Remedies</w:t>
      </w:r>
      <w:r>
        <w:rPr>
          <w:rFonts w:ascii="Times New Roman;Times;Serif" w:hAnsi="Times New Roman;Times;Serif"/>
          <w:b w:val="false"/>
          <w:i w:val="false"/>
          <w:caps w:val="false"/>
          <w:smallCaps w:val="false"/>
          <w:sz w:val="20"/>
        </w:rPr>
        <w:t>. If an Event of Default occurs and is continuing, the Trustee may pursue any available remedy by proceeding at law or in equity to collect the payment of principal of, or interest on, the Notes or to enforce the performance of any provision of the Notes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9.02</w:t>
      </w:r>
      <w:r>
        <w:rPr>
          <w:rFonts w:ascii="Times New Roman;Times;Serif" w:hAnsi="Times New Roman;Times;Serif"/>
          <w:b w:val="false"/>
          <w:i w:val="false"/>
          <w:caps w:val="false"/>
          <w:smallCaps w:val="false"/>
          <w:sz w:val="20"/>
        </w:rPr>
        <w:t xml:space="preserve">, the Holders of a majority in principal amount of the outstanding Notes (which may include consents obtained in connection with a tender offer or exchange offer of Notes) by notice to the Trustee may waive an existing Default and its consequences, except a Default in the payment of principal of, or interest on, any Note as specified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Issuers shall deliver to the Trustee an Officer’s Certificate stating that the requisite percentage of Holders have consented to such waiver and attaching copies of such consents. When a Default is waived, it is cured and ceases.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Control by Majority</w:t>
      </w:r>
      <w:r>
        <w:rPr>
          <w:rFonts w:ascii="Times New Roman;Times;Serif" w:hAnsi="Times New Roman;Times;Serif"/>
          <w:b w:val="false"/>
          <w:i w:val="false"/>
          <w:caps w:val="false"/>
          <w:smallCaps w:val="false"/>
          <w:sz w:val="20"/>
        </w:rPr>
        <w:t xml:space="preserve">. The Holders of at least a majority in aggregate principal amount of the outstanding Notes may direct the time, method and place of conducting any proceeding for any remedy available to the Trustee or exercising any trust or power conferred on the Trustee.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however, the Trustee may refuse to follow any direction that conflicts with any law or this Indenture, that may involve the Trustee in personal liability, or that the Trustee determines in good faith may be unduly prejudicial to the rights of Holders of Notes not joining in the giving of such direction received from the Holders of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may take any other action deemed proper by the Trustee which is not inconsistent with such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shall have any right to institute any proceeding with respect to this Indenture or for any remedy thereunder,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 gives the Trustee written notice of a continuing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aggregate principal amount of outstanding Notes make a written request to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offer the Trustee indemnity satisfactory to the Trustee against any costs,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does not comply with the request within 60 days after receipt of the request and the offer of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60-day period, the Holders of a majority in aggregate principal amount of the outstanding Notes do not give the Trustee a direction that is inconsistent with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limitations do not apply to the right of any Holder of a Note to receive payment of the principal of, premium, if any, or interest on, such Note or to bring suit for the enforcement of any such payment on or after the due date expressed in the Notes, which right shall not be impaired or affected without the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val="false"/>
          <w:caps w:val="false"/>
          <w:smallCaps w:val="false"/>
          <w:sz w:val="20"/>
          <w:u w:val="single"/>
        </w:rPr>
        <w:t>Rights of Holders To Receive Payment</w:t>
      </w:r>
      <w:r>
        <w:rPr>
          <w:rFonts w:ascii="Times New Roman;Times;Serif" w:hAnsi="Times New Roman;Times;Serif"/>
          <w:b w:val="false"/>
          <w:i w:val="false"/>
          <w:caps w:val="false"/>
          <w:smallCaps w:val="false"/>
          <w:sz w:val="20"/>
        </w:rPr>
        <w:t>. Notwithstanding any other provision of this Indenture, the right of any Holder to receive payment of principal of and premium, if any, and interest on, a Note, on or after the respective due dates therefor, or to bring suit for the enforcement of any such payment on or after such respective dates, shall not be impaired or affected without the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val="false"/>
          <w:caps w:val="false"/>
          <w:smallCaps w:val="false"/>
          <w:sz w:val="20"/>
          <w:u w:val="single"/>
        </w:rPr>
        <w:t>Collection Suit by Trustee</w:t>
      </w:r>
      <w:r>
        <w:rPr>
          <w:rFonts w:ascii="Times New Roman;Times;Serif" w:hAnsi="Times New Roman;Times;Serif"/>
          <w:b w:val="false"/>
          <w:i w:val="false"/>
          <w:caps w:val="false"/>
          <w:smallCaps w:val="false"/>
          <w:sz w:val="20"/>
        </w:rPr>
        <w:t xml:space="preserve">. If an Event of Default in payment of principal or interest specified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occurs and is continuing, the Trustee may recover judgment in its own name and as trustee of an express trust against the Issuers or any other obligor on the Notes for the whole amount of principal and accrued interest and fees remaining unpaid, together with interest on overdue principal and, to the extent that payment of such interest is lawful, interest on overdue installments of interest, in each case at the rate per annum borne by the Notes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 xml:space="preserve">. The Trustee may file such proofs of claim and other papers or documents as may be necessary or advisable in order to have the claims of the Trustee (including any claim for the compensation, expenses, disbursements and advances of the Trustee, its agents and counsel) and the Holders allowed in any judicial proceedings relating to the Issuers, their creditors or their property and shall be entitled and empowered to collect and receive any monies or other property payable or deliverable on any such claims and to distribute the same, and any custodian in any such judicial proceedings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 and counsel, and any other amounts due the Trustee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To the extent that the payment of any such compensation, expenses, disbursements and advances of the Trustee, their respective agents and counsel, and any other amounts due the Trustee under or Agent hereunder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The Trustee shall be entitled to participate as a member of any official committee of creditors in the matters as it deems necessary or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Priorities</w:t>
      </w:r>
      <w:r>
        <w:rPr>
          <w:rFonts w:ascii="Times New Roman;Times;Serif" w:hAnsi="Times New Roman;Times;Serif"/>
          <w:b w:val="false"/>
          <w:i w:val="false"/>
          <w:caps w:val="false"/>
          <w:smallCaps w:val="false"/>
          <w:sz w:val="20"/>
        </w:rPr>
        <w:t>. If the Trustee collects any money or property pursuant to this Article VI, it shall pay out the money or property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to the Trustee, in each of its capacities under this Indenture, for amounts due hereunder, including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the Notes for principal (and premium, if any) and interest, in respect of which or for the benefit of which such money has been collected, ratably, without preference or priority of any kind, according to the amounts due and payable on such Notes for principal (and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Issuers or, if applicable, the Guarantors, as their respective interests may appear.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pursuant to this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does not apply to a suit by the Trustee, a suit by a Holder pursuant to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or a suit by a Holder or Holders of more than 10% in principal amount of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or any other proceedings, the Issuers, the Trustee and the Holders shall be restored severally and respectively to their former positions hereunder and thereafter all rights and remedies hereunder of the Trustee and the Holders shall continue as though no such proceeding has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as are specifically set forth herein and no duties, covenants, responsibilities or obligations shall be implied in this Indenture against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certificates (including Officer’s Certificates) or opinions (including Opinions of Counsel)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the Trustee may not be relieved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paragraph does not limit the effect of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it takes or omits to take in good faith in accordance with a direction received by it pursuant to Section 6.05.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provision of this Indenture shall require the Trustee to expend or risk its own funds or otherwise incur any financial liability in the performance of any of its duties hereunder or to take or omit to take any action under this Indenture or take any action at the request or direction of Holders if it shall have reasonable grounds for believing that repayment of such funds is not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Whether or not therein expressly so provided, every provision of this Indenture that in any way relates to the Trustee is subject to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Issuers. Money held in trust by the Trustee need not be segregated from other funds except to the extent required by law or unless otherwise agreed with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absence of bad faith, negligence or willful misconduct on the part of the Trustee, the Trustee shall not be responsible for the application of any money by any Paying Agent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conclusively on any resolution, certificate (including any Officer’s Certificate), statement, instrument, opinion (including any Opinion of Counsel), notice, request, direction, consent, order, bond, debenture or other paper or document believed by it to be genuine and to have been signed or presented by the proper Person. The Trustee need not investigate any fact or matter stated in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Before the Trustee acts or refrains from acting, it may require an Officer’s Certificate, an Opinion of Counsel or both, which shall conform to the provisions of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The Trustee shall not be liable for any action it takes or omits to take in good faith in reliance on such Officer’s Certificate or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shall not be responsible for the misconduct or negligence of any agent (other than an agent who is an employee of the Trustee) appointed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reasonably believes to be authorized or within its rights or powers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satisfactory to it against the costs, expenses and liabilities which may be incurred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bound to confirm or make any investigation into the facts or matters stated in any resolution, certificate (including any Officer’s Certificate), statement, instrument, opinion (including any Opinion of Counsel),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upon reasonable notice to the Issuers, to examine the books, records, and premises of the Issuers, personally or by agent or attorney at the sole cost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required to give any bond or surety in respect of the performance of its powers and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permissive rights of the Trustee to do things enumerated in this Indenture shall not be construed as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with respect to </w:t>
      </w:r>
      <w:r>
        <w:rPr>
          <w:rFonts w:ascii="Times New Roman;Times;Serif" w:hAnsi="Times New Roman;Times;Serif"/>
          <w:b w:val="false"/>
          <w:i w:val="false"/>
          <w:caps w:val="false"/>
          <w:smallCaps w:val="false"/>
          <w:sz w:val="20"/>
          <w:u w:val="single"/>
        </w:rPr>
        <w:t>Sections 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4.05</w:t>
      </w:r>
      <w:r>
        <w:rPr>
          <w:rFonts w:ascii="Times New Roman;Times;Serif" w:hAnsi="Times New Roman;Times;Serif"/>
          <w:b w:val="false"/>
          <w:i w:val="false"/>
          <w:caps w:val="false"/>
          <w:smallCaps w:val="false"/>
          <w:sz w:val="20"/>
        </w:rPr>
        <w:t xml:space="preserve">, the Trustee shall have no duty to inquire as to the performance of the Issuers with respect to the covenants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In addition, the Trustee shall not be deemed to have knowledge of a Default or an Event of Default except (i) any Default or Event of Default occurring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6.01(b)</w:t>
      </w:r>
      <w:r>
        <w:rPr>
          <w:rFonts w:ascii="Times New Roman;Times;Serif" w:hAnsi="Times New Roman;Times;Serif"/>
          <w:b w:val="false"/>
          <w:i w:val="false"/>
          <w:caps w:val="false"/>
          <w:smallCaps w:val="false"/>
          <w:sz w:val="20"/>
        </w:rPr>
        <w:t> or (ii) any Default or Event of Default actually known to a Responsible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privileges, protections, immunities and benefits given to the Trustee, including its right to be indemnified, are extended to, and shall be enforceable by, the Trustee in each of its capacities hereunder, and to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 no event shall the Trustee or an Agent be responsible or liable for special, indirect, consequential, punitive or incidental loss or damage of any kind whatsoever (including, but not limited to, loss of profit) irrespective of whether the Trustee or Agent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provision of this Indenture shall be deemed to impose any duty or obligation on the Trustee to take or omit to take any action, or suffer any action to be taken or omitted, in the performance of their respective duties or obligations under this Indenture, or to exercise any right or power thereunder, to the extent that taking or omitting to take such action or suffering such action to be taken or omitted would violate applicable law binding upon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any party fails to deliver a notice relating to an event the fact of which, pursuant to this Indenture, requires notice to be sent to the Trustee, the Trustee may conclusively rely on its failure to receive such notice as reason to act as if no such event occurred, unless such Responsible Officer of the Trustee had actual knowledge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request or direction of an Issuer or other Person mentioned herein shall be sufficiently evidenced by an Officer’s Certificate or certificate of an Officer of such other Person and any resolution of the Board of Directors of an Issuer or of such other Person may be sufficiently evidenced by a board resolution certified by the secretary or assistant secretary (or similar officer)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Individual Rights of Trustee</w:t>
      </w:r>
      <w:r>
        <w:rPr>
          <w:rFonts w:ascii="Times New Roman;Times;Serif" w:hAnsi="Times New Roman;Times;Serif"/>
          <w:b w:val="false"/>
          <w:i w:val="false"/>
          <w:caps w:val="false"/>
          <w:smallCaps w:val="false"/>
          <w:sz w:val="20"/>
        </w:rPr>
        <w:t xml:space="preserve">. The Trustee in its individual or any other capacity may become the owner or pledgee of Notes and may otherwise deal with the Issuers, their Subsidiaries or their respective Affiliates with the same rights it would have if it were not Trustee. Any Agent may do the same with like rights. However, the Trustee shall comply with </w:t>
      </w:r>
      <w:r>
        <w:rPr>
          <w:rFonts w:ascii="Times New Roman;Times;Serif" w:hAnsi="Times New Roman;Times;Serif"/>
          <w:b w:val="false"/>
          <w:i w:val="false"/>
          <w:caps w:val="false"/>
          <w:smallCaps w:val="false"/>
          <w:sz w:val="20"/>
          <w:u w:val="single"/>
        </w:rPr>
        <w:t>Sections 7.10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 The Trustee shall not be responsible for and makes no representation as to the validity or adequacy of this Indenture or the Notes, it shall not be accountable for the Issuers’ use of the proceeds from the Notes, and it shall not be responsible for any statement of the Issuers in this Indenture or any document issued in connection with the sale of Notes or any statement in the Notes other than the Trustee’s certificate of authentication. The Trustee makes no representations with respect to the effectiveness or adequacy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If a Default occurs and is continuing and is deemed to be known to the Trustee pursuant to </w:t>
      </w:r>
      <w:r>
        <w:rPr>
          <w:rFonts w:ascii="Times New Roman;Times;Serif" w:hAnsi="Times New Roman;Times;Serif"/>
          <w:b w:val="false"/>
          <w:i w:val="false"/>
          <w:caps w:val="false"/>
          <w:smallCaps w:val="false"/>
          <w:sz w:val="20"/>
          <w:u w:val="single"/>
        </w:rPr>
        <w:t>Section 7.02(j)</w:t>
      </w:r>
      <w:r>
        <w:rPr>
          <w:rFonts w:ascii="Times New Roman;Times;Serif" w:hAnsi="Times New Roman;Times;Serif"/>
          <w:b w:val="false"/>
          <w:i w:val="false"/>
          <w:caps w:val="false"/>
          <w:smallCaps w:val="false"/>
          <w:sz w:val="20"/>
        </w:rPr>
        <w:t xml:space="preserve">, the Trustee shall mail or otherwise provide in accordance with the procedures of the Depository to each Holder notice of the uncured Default within 60 days after the Trustee is deemed to know such Default occurred. Except in the case of a Default in payment of principal of, or interest on, any Note, including an accelerated payment and the failure to make a payment pursuant to an Asset Sale Offer and/or Change of Control Offer or a Default in complying with the provisions of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the Trustee may withhold the notice if and so long as the Board of Directors, the executive committee, or a trust committee of directors and/or Responsible Officers, of the Trustee in good faith determines that withholding the notice is in the interest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 The Issuers shall pay to the Trustee from time to time such compensation as the Issuers and the Trustee shall from time to time agree in writing for its services hereunder. The Trustee’s compensation shall not be limited by any law on compensation of a trustee of an express trust. The Issuers shall reimburse the Trustee upon request for all reasonable disbursements, costs, fees and expenses and advances (including reasonable fees and expenses of counsel) incurred or made by it in addition to the compensation for its services, except any such disbursements, expenses and advances as may be attributable to the Trustee’s negligence or willful misconduct as determined by a final non-appealable decision of a court of competent jurisdiction. Such expenses shall include the reasonable fees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Issuers shall indemnify each of the Trustee or any predecessor Trustee and its agents for, and hold them harmless against, any and all loss, damage, claims including taxes (other than taxes based upon, measured by or determined by the income of the Trustee), liability or expense incurred by them except for such actions to the extent caused by any negligence or willful misconduct on their part, as determined by a final non-appealable decision of a court of competent jurisdiction, arising out of or in connection with this Indenture including the reasonable costs and expenses (including, but not limited to, reasonable attorney’s fees and expenses, court costs and expenses) of defending themselves against or investigating any claim or liability in connection with the exercise or performance of any of the Trustee’s rights, powers or duties hereunder, under the Notes and any Guaranty (whether asserted by any Holder, the Issuers, the Guarantors or otherwise). The Trustee shall notify the Issuers promptly of any claim asserted against the Trustee or any of its agents for which it may seek indemnity. Failure to provide such notice shall not relieve the Issuers of their obligations in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unless the failure to notify the Issuers impairs the Issuers’ ability to defend such claim. The Issuers may, at the request of the Trustee, defend the claim and the Trustee shall cooperate in the defense;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Trustee and its agents subject to the claim may have separate counsel and the Issuers shall pay the reasonable fees and expenses of such counsel;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Issuers shall not be required to pay such fees and expenses if the Issuers assume the Trustee’s defense and there is no conflict of interest between the Issuers and the Trustee and its agents subject to the claim in connection with such defense as reasonably determined by the Trustee. The Issuers need not pay for any settlement made without their written consent. The Issuers need not reimburse any expense or indemnify against any loss or liability to the extent incurred by the Trustee through its negligence or willful misconduct as determined by a final non-appealable decision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to secure the Issuers’ payment obligations in this Section 7.07, the Trustee shall have a Lien prior to the Notes against all money or property held or collected by the Trustee, in its capacity as Trustee, except money or property held in trust to pay principal and interest on particular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the Trustee incurs expenses or renders services after a Default specified in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6.01(i)</w:t>
      </w:r>
      <w:r>
        <w:rPr>
          <w:rFonts w:ascii="Times New Roman;Times;Serif" w:hAnsi="Times New Roman;Times;Serif"/>
          <w:b w:val="false"/>
          <w:i w:val="false"/>
          <w:caps w:val="false"/>
          <w:smallCaps w:val="false"/>
          <w:sz w:val="20"/>
        </w:rPr>
        <w:t> occurs, such expenses and the compensation for such services shall be paid to the extent allowed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in this Indenture, the foregoing provisions of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shall survive the satisfaction and discharge of this Indenture or the earlier resignation or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 xml:space="preserve">. A resignation or removal of the Trustee and appointment of a successor Trustee shall become effective only upon the successor Trustee’s acceptance of appointment as provided in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The Trustee may resign with 60 days prior written notice by so notifying the Issuers in writing. The Holders of a majority in principal amount of the outstanding Notes may remove the Trustee by so notifying the Issuers and the Trustee and may appoint a successor Trustee. The Issuers may remove the Trustee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Trustee fails to comply with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receiver or other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shall resign, be removed or become incapable of acting, or if a vacancy shall occur in the office of Trustee for any cause, Parent shall promptly appoint a successor Trustee and shall comply with the applicable requirements of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If, within one year after such resignation, removal or incapability, or the occurrence of such vacancy, a successor Trustee shall be appointed by action of the Holders of a majority in principal amount of the outstanding Notes delivered to Parent and the retiring Trustee, the successor Trustee so appointed shall, forthwith upon its acceptance of such appointment in accordance with the applicable requirements of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become the successor Trustee and to that extent supersede the successor Trustee appointed by Parent. If no successor Trustee shall have been so appointed by Parent or the Holders and accepted appointment in the manner required by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then, subject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any Holder who has been a bona fide Holder of a Note for at least six months may, on behalf of itself and all others similarly situated,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successor Trustee shall deliver a written acceptance of its appointment to the retiring Trustee and to the Issuers. Immediately after that, the retiring Trustee shall transfer, after payment of all sums then owing to the Trustee pursuant to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all property held by it as Trustee to the successor Trustee, subject to the Lien provided in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the resignation or removal of the retiring Trustee shall become effective, and the successor Trustee shall have all the rights, powers and duties of the Trustee under this Indenture. A successor Trustee shall mail (or otherwise deliver in accordance with the procedures of the Depository) notice of its succession to each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60 days after the retiring Trustee resigns or is removed, the retiring Trustee, the Issuers or the Holders of at least 10% in principal amount of the outstanding Notes may petition any court of competent jurisdiction for the appointment of a successor Trustee at the expense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fails to comply with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any Holder may petition any court of competent jurisdiction for the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replacement of the Trustee pursuant to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the Issuers’ obligations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 Any business entity into which the Trustee may be merged or converted or with which it may be consolidated, or any entity resulting from any merger, conversion or consolidation to which the Trustee shall be a party, or any entity succeeding to all or substantially all of the corporate trust business of the Trustee, shall be the successor of the Trustee hereunder,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 xml:space="preserve">. There shall at all times be one (and only one) Trustee hereunder. The Trustee shall be a Person that is eligible pursuant to the Trust Indenture Act to act as such and has a combined capital and surplus (together with its corporate parent) of at least $150,000,000.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shall cease to be eligible in accordance with the provisions of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it shall resign immediately in the manner and with the effect hereinafter specified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Preferential Collection of Claims Against the Issuers</w:t>
      </w:r>
      <w:r>
        <w:rPr>
          <w:rFonts w:ascii="Times New Roman;Times;Serif" w:hAnsi="Times New Roman;Times;Serif"/>
          <w:b w:val="false"/>
          <w:i w:val="false"/>
          <w:caps w:val="false"/>
          <w:smallCaps w:val="false"/>
          <w:sz w:val="20"/>
        </w:rPr>
        <w:t>. The Trustee, in its capacity as Trustee hereunder, shall comply with Trust Indenture Act § 311(a), excluding any creditor relationship listed in Trust Indenture Act § 311(b). A Trustee who has resigned or been removed shall be subject to Trust Indenture Act § 311(a) to the extent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DISCHARGE OF INDENTURE,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Termination of the Issuers’ Obligations</w:t>
      </w:r>
      <w:r>
        <w:rPr>
          <w:rFonts w:ascii="Times New Roman;Times;Serif" w:hAnsi="Times New Roman;Times;Serif"/>
          <w:b w:val="false"/>
          <w:i w:val="false"/>
          <w:caps w:val="false"/>
          <w:smallCaps w:val="false"/>
          <w:sz w:val="20"/>
        </w:rPr>
        <w:t xml:space="preserve">. The Issuers may terminate their obligations under the Notes and this Indenture and the obligations of the Guarantors under its Guaranty and this Indenture, and this Indenture shall cease to be of further effect, except those obligations referred to in the penultimate paragraph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the Notes theretofore authenticated and delivered (except lost, stolen or destroyed Notes that have been replaced or paid and Notes for whose payment money has theretofore been deposited in trust or segregated and held in trust by the Issuers and thereafter repaid to the Issuers or discharged from such trust)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Notes not theretofore delivered to the Trustee for cancellation (1) have become due and payable or (2) will become due and payable within one year, or are to be called for redemption within one year, under arrangements reasonably satisfactory to the Trustee for the giving of notice of redemption by the Trustee in the name, and at the expense, of the Issuers, and the Issuers have irrevocably deposited or caused to be deposited with the Trustee funds in an amount sufficient to pay and discharge the entire Indebtedness on the Notes not theretofore delivered to the Trustee for cancellation, for principal of, premium, if any, and interest on the Notes to the date of maturity or redemption, as the case may be, together with irrevocable instructions from the Issuers directing the Trustee to apply such funds to the payment thereof at maturity or redemption,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Issuers have paid all other sums payable under this Indenture by Parent, the Issuers and the Subsidiary Guarantors,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Issuers have delivered to the Trustee an Officer’s Certificate and an Opinion of Counsel stating that all conditions precedent under this Indenture relating to the satisfaction and discharge of this Indenture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clause (ii)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and subject to the next sentence and notwithstanding the foregoing paragraph, the Issuers’ obligations in </w:t>
      </w:r>
      <w:r>
        <w:rPr>
          <w:rFonts w:ascii="Times New Roman;Times;Serif" w:hAnsi="Times New Roman;Times;Serif"/>
          <w:b w:val="false"/>
          <w:i w:val="false"/>
          <w:caps w:val="false"/>
          <w:smallCaps w:val="false"/>
          <w:sz w:val="20"/>
          <w:u w:val="single"/>
        </w:rPr>
        <w:t>Sections 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8.06</w:t>
      </w:r>
      <w:r>
        <w:rPr>
          <w:rFonts w:ascii="Times New Roman;Times;Serif" w:hAnsi="Times New Roman;Times;Serif"/>
          <w:b w:val="false"/>
          <w:i w:val="false"/>
          <w:caps w:val="false"/>
          <w:smallCaps w:val="false"/>
          <w:sz w:val="20"/>
        </w:rPr>
        <w:t xml:space="preserve"> shall survive until the Notes are no longer outstanding pursuant to the last paragraph of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After the Notes are no longer outstanding, the Issuers’ obligations in </w:t>
      </w:r>
      <w:r>
        <w:rPr>
          <w:rFonts w:ascii="Times New Roman;Times;Serif" w:hAnsi="Times New Roman;Times;Serif"/>
          <w:b w:val="false"/>
          <w:i w:val="false"/>
          <w:caps w:val="false"/>
          <w:smallCaps w:val="false"/>
          <w:sz w:val="20"/>
          <w:u w:val="single"/>
        </w:rPr>
        <w:t>Sections 7.07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8.06</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such delivery or irrevocable deposit, the Trustee upon request shall acknowledge in writing the discharge of the Issuers’ obligations under the Notes and this Indenture except for those surviving obligations specified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delivered to the Trustee under this section shall be held by the Trustee uninvested.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Legal Defeasance and 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Issuers may, at their option and at any time, elect to have either paragraph (b) or (c) below be applied to all outstanding Notes upon compliance with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Issuers’ exercise under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hereof of the option applicable to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the Issuers and the Guarantors shall, subject to the satisfaction of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be deemed to have been discharged from their obligations with respect to all outstanding Notes on the date the conditions set forth below are satisfied (hereinafter,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For this purpose, Legal Defeasance means that the Issuers and the Guarantors shall be deemed to have paid and discharged the entire Indebtedness represented by the outstanding Notes and each Guaranty, which shall thereafter be deemed to be “outstanding” only for the purposes of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hereof and the other Sections of this Indenture referred to in (i) and (ii) below, and to have satisfied all its other obligations under such Notes and this Indenture and the Guarantors shall be deemed to have satisfied all of their obligations under each Guaranty and this Indenture (and the Trustee, on demand of and at the expense of the Issuers, shall execute proper instruments acknowledging the same), except for the following provisions which shall survive until otherwise terminated or discharged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rights of Holders of outstanding Notes to receive, solely from the trust fund described in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and as more fully set forth in such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payments in respect of the principal of, premium, if any, and interest on such Notes when such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Issuers’ obligations with respect to such Notes concerning issuing temporary Notes, registration of Notes, mutilated, destroyed, lost or stolen Notes and Section 4.02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powers, trusts, duties and immunities of the Trustee, and the Issuers’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applicable to Legal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compliance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Issuers may exercise their option under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notwithstanding the prior exercise of its option under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Issuers’ exercise under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hereof of the option applicable to this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 xml:space="preserve">, the Issuers and the Guarantors shall, subject to the satisfaction of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be released from their respective obligations under the covenants contained in </w:t>
      </w:r>
      <w:r>
        <w:rPr>
          <w:rFonts w:ascii="Times New Roman;Times;Serif" w:hAnsi="Times New Roman;Times;Serif"/>
          <w:b w:val="false"/>
          <w:i w:val="false"/>
          <w:caps w:val="false"/>
          <w:smallCaps w:val="false"/>
          <w:sz w:val="20"/>
          <w:u w:val="single"/>
        </w:rPr>
        <w:t>Sections 4.03</w:t>
      </w:r>
      <w:r>
        <w:rPr>
          <w:rFonts w:ascii="Times New Roman;Times;Serif" w:hAnsi="Times New Roman;Times;Serif"/>
          <w:b w:val="false"/>
          <w:i w:val="false"/>
          <w:caps w:val="false"/>
          <w:smallCaps w:val="false"/>
          <w:sz w:val="20"/>
        </w:rPr>
        <w:t xml:space="preserve"> (other than with respect to the legal existence of the Issuers), </w:t>
      </w:r>
      <w:r>
        <w:rPr>
          <w:rFonts w:ascii="Times New Roman;Times;Serif" w:hAnsi="Times New Roman;Times;Serif"/>
          <w:b w:val="false"/>
          <w:i w:val="false"/>
          <w:caps w:val="false"/>
          <w:smallCaps w:val="false"/>
          <w:sz w:val="20"/>
          <w:u w:val="single"/>
        </w:rPr>
        <w:t>4.04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4.07</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4.17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with respect to the outstanding Notes on and after the date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are satisfied (hereinafter,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an Event of Default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but, except as specified above, the remainder of this Indenture and such Notes shall be unaffected thereby. In addition, upon the Issuers’ exercise under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hereof of the option applicable to this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 xml:space="preserve">, subject to the satisfaction of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clauses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Conditions to Legal Defeasance or Covenant Defeasance</w:t>
      </w:r>
      <w:r>
        <w:rPr>
          <w:rFonts w:ascii="Times New Roman;Times;Serif" w:hAnsi="Times New Roman;Times;Serif"/>
          <w:b w:val="false"/>
          <w:i w:val="false"/>
          <w:caps w:val="false"/>
          <w:smallCaps w:val="false"/>
          <w:sz w:val="20"/>
        </w:rPr>
        <w:t xml:space="preserve">. The following shall be the conditions to the application of either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8.02(c)</w:t>
      </w:r>
      <w:r>
        <w:rPr>
          <w:rFonts w:ascii="Times New Roman;Times;Serif" w:hAnsi="Times New Roman;Times;Serif"/>
          <w:b w:val="false"/>
          <w:i w:val="false"/>
          <w:caps w:val="false"/>
          <w:smallCaps w:val="false"/>
          <w:sz w:val="20"/>
        </w:rPr>
        <w:t> hereof to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Issuers shall irrevocably deposit with the Trustee, in trust, for the benefit of the Holders, U.S. Legal Tender, U.S. Government Obligations or a combination thereof, in such amounts as will be sufficient (without reinvestment), in the opinion of a nationally recognized firm of independent public accountants or a nationally recognized investment bank selected by the Issuers, to pay the principal of and interest and premium, if any, on the Notes on the stated date for payment or on the redemption date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Legal Defeasance, the Issuers shall have delivered to the Trustee an Opinion of Counsel in the United States of America confirming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Issuers have received from, or there has been published by the Internal Revenue Service, a ruling,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since the date of this Indenture, there has been a change in the applicable U.S. Federal income tax law, in either case to the effect that, and based thereon this Opinion of Counsel shall confirm that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Covenant Defeasance, the Issuers shall have delivered to the Trustee an Opinion of Counsel in the United States of America reasonably acceptable to the Trustee confirming that the Holders and beneficial owners will not recognize income, gain or loss for U.S. Federal income tax purposes as a result of such Covenant Defeasance and will be subject to U.S. Federal income tax on the same amounts, in the same manner and at the same times as would have been the case if the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shall have occurred and be continuing on the date of such deposit (other than a Default resulting from the borrowing of funds to be applied to such deposit and any similar and simultaneous deposit relating to other Indebtedness and, in each case, the granting of Liens on the deposited funds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Legal Defeasance or Covenant Defeasance shall not result in a breach or violation of, or constitute a default under any other material agreement or instrument (other than this Indenture) to which Parent or any of its Subsidiaries is a party or by which Parent or any of its Subsidiaries is bound (other than any such Default or default relating to any Indebtedness being defeased from any borrowing of funds to be applied to such deposit and any similar and simultaneous deposit relating to such Indebtedness, and the granting of Liens on the deposited funds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Issuers shall have delivered to the Trustee an Officer’s Certificate stating that the deposit was not made by them with the intent of preferring the Holders over any other creditors of the Issuers or with the intent of defeating, hindering, delaying or defrauding any other of their creditors or others;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Issuers shall have delivered to the Trustee an Officer’s Certificate and an Opinion of Counsel, each stating that the conditions provided for in, in the case of the Officer’s Certificate, clauses (1) through (6), as applicable, and, in the case of the Opinion of Counsel, clauses (2), if applicable, and/or (3) and (5) of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8.05</w:t>
      </w:r>
      <w:r>
        <w:rPr>
          <w:rFonts w:ascii="Times New Roman;Times;Serif" w:hAnsi="Times New Roman;Times;Serif"/>
          <w:b w:val="false"/>
          <w:i w:val="false"/>
          <w:caps w:val="false"/>
          <w:smallCaps w:val="false"/>
          <w:sz w:val="20"/>
        </w:rPr>
        <w:t xml:space="preserve">, the Trustee or Paying Agent shall hold in trust all U.S. Legal Tender and U.S. Government Obligations deposited with it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shall apply the deposited U.S. Legal Tender and the money from U.S. Government Obligations in accordance with this Indenture to the payment of the principal of and the interest on the Notes. The Trustee shall be under no obligation to invest said U.S. Legal Tender and U.S. Government Obligations, except as it may agree with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Issuers shall pay and indemnify the Trustee against any tax, fee or other charge imposed on or assessed against the U.S. Legal Tender and U.S. Government Obligations deposited pursuant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or the principal and interest received in respect thereof, other than any such tax, fee or other charge which by law is for the account of the Holders of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Anything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the contrary notwithstanding, the Trustee shall deliver or pay to the Issuers from time to time upon the Issuers’ request any U.S. Legal Tender and U.S. Government Obligations held by it as provided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which, in the opinion of a nationally recognized firm of independent public accountants expressed in a written certification thereof delivered to the Trustee, are in excess of the amount thereof that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val="false"/>
          <w:caps w:val="false"/>
          <w:smallCaps w:val="false"/>
          <w:sz w:val="20"/>
          <w:u w:val="single"/>
        </w:rPr>
        <w:t>Repayment to the Issuers</w:t>
      </w:r>
      <w:r>
        <w:rPr>
          <w:rFonts w:ascii="Times New Roman;Times;Serif" w:hAnsi="Times New Roman;Times;Serif"/>
          <w:b w:val="false"/>
          <w:i w:val="false"/>
          <w:caps w:val="false"/>
          <w:smallCaps w:val="false"/>
          <w:sz w:val="20"/>
        </w:rPr>
        <w:t>. The Trustee and the Paying Agent shall pay to the Issuers upon request any money held by them for the payment of principal or interest that remains unclaimed for two years. After payment to the Issuers, Holders entitled to such money shall look to the Issuers for payment as general creditors unless an applicable law designates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Paying Agent is unable to apply any U.S. Legal Tender and U.S. Government Obligations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by reason of any legal proceeding or by reason of any order or judgment of any court or governmental authority enjoining, restraining or otherwise prohibiting such application, the Issuers’ obligations under this Indenture, the Notes and any Guaranty shall be revived and reinstated as though no deposit had occurred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until such time as the Trustee or Paying Agent is permitted to apply all such U.S. Legal Tender and U.S. Government Obligations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Issuers have made any payment of interest on, or principal of, any Notes because of the reinstatement of their obligations, the Issuers shall be subrogated to the rights of the Holders of such Notes to receive such payment from the U.S. Legal Tender and U.S.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AMENDMENTS, SUPPLEMENTS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the Issuers, the Subsidiary Guarantors and the Trustee, together, may amend or supplement this Indenture, the Notes or any Guaranty without notice to or consent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cure any ambiguity, omission, mistake,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provide for the assumption by a successor corporation of the obligations of Parent, the Issuers or any Subsidiary Guarantor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provide for uncertificated Notes in addition to or in place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add Guarantees with respect to the Notes, including any Subsidiary Guaranty or to secure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add to the covenants of Parent or a Restricted Subsidiary for the benefit of the Holders or to surrender any right or power conferred upon Parent or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make any change that does not adversely affect the rights of any Holder in any material respect, as evidenced by an Officer’s Certificate delivered to the Trustee (upon which it may fully 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center"/>
        <w:rPr>
          <w:sz w:val="20"/>
          <w:bdr w:val="single" w:sz="8" w:space="1" w:color="000000"/>
        </w:rPr>
      </w:pPr>
      <w:r>
        <w:rPr>
          <w:sz w:val="20"/>
          <w:bdr w:val="single" w:sz="8" w:space="1" w:color="000000"/>
        </w:rPr>
        <w:t>89</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comply with any requirement of the SEC in order to effect or maintain the qualification of this Indenture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to make any amendment to the provisions of this Indenture relating to the transfer and legending of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compliance with this Indenture as so amended would not result in Notes being transferred in violation of the Securities Act or any other applicable securities law and (b) such amendment does not materially and adversely affect the rights of Holders to transfer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conform the text of this Indenture or any Guaranty or the Notes to any provision of the “Description of Notes” section of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to evidence and provide for the acceptance of appointment by a successor trustee,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successor trustee is otherwise qualified and eligible to act as such under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provide for a reduction in the minimum denominations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comply with the rules of any applicable securities depositary;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to provide for the issuance of Additional Notes and any related Guaranty in accordance with the limitations set forth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the Issuers, the Guarantors and the Trustee, together, with the consent of the Holder or Holders of not less than a majority in aggregate principal amount of the outstanding Notes may amend or supplement this Indenture, the Notes or any Guaranty, without notice to or the consent of any other Holders. Subject to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the Holder or Holders of not less than a majority in aggregate principal amount of the outstanding Notes may waive compliance with any provision of this Indenture, the Notes or any Guaranty without notice to or the consent of any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without the consent of each Holder affected thereby, no amendment or waiver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the Stated Maturity of the principal of, or any installment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amount of, or premium, if any, or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change the place of payment of principal of, or premium, if any, or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impair the right to institute suit for the enforcement of any payment on or after the Stated Maturity (or, in the case of a redemption, on or after the redemption date)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reduce the above-stated percentages of outstanding Notes the consent of whose Holders is necessary to modify or amend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waive a default in the payment of principal of, premium, if any, or interest on the Notes (except a rescission of the declaration of acceleration of the Notes by the Holders of at least a majority in aggregate principal amount of the Notes then outstanding and a waiver of the payment default that resulted from such acceleration, so long as all other existing Events of Default, other than the nonpayment of the principal of, premium, if any, and interest on the Notes that have become due solely by such declaration of acceleration, have been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voluntarily release a Guarantor of the Notes, except as permitted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reduce the percentage or aggregate principal amount of outstanding Notes the consent of whose Holders is necessary, pursuant to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6.04</w:t>
      </w:r>
      <w:r>
        <w:rPr>
          <w:rFonts w:ascii="Times New Roman;Times;Serif" w:hAnsi="Times New Roman;Times;Serif"/>
          <w:b w:val="false"/>
          <w:i w:val="false"/>
          <w:caps w:val="false"/>
          <w:smallCaps w:val="false"/>
          <w:sz w:val="20"/>
        </w:rPr>
        <w:t>, for waiver of compliance with certain provisions of this Indenture or for waiver of certain defaults;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modify or change any provisions of this Indenture affecting the ranking of the Notes as to right of payment or any Guaranty thereof in any manner adverse to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It shall not be necessary for the consent of the Holders under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to approve the particular form of any proposed amendment, supplement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consent to any amendment, supplement or waiver under this Indenture by any Holder given in connection with an exchange (in the case of an exchange offer) or a tender (in the case of a tender offer) of such Holder’s Notes shall not be rendered invalid by such tender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After an amendment, supplement or waiver under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becomes effective, the Issuers shall provide to the Holders affected thereby a notice briefly describing the amendment, supplement or waiver. Any failure of the Issuers to give such notice to all Holders, or any defect therein, shall not, however, in any way impair or affect the validity of any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Compliance with the Trust Indenture Act</w:t>
      </w:r>
      <w:r>
        <w:rPr>
          <w:rFonts w:ascii="Times New Roman;Times;Serif" w:hAnsi="Times New Roman;Times;Serif"/>
          <w:b w:val="false"/>
          <w:i w:val="false"/>
          <w:caps w:val="false"/>
          <w:smallCaps w:val="false"/>
          <w:sz w:val="20"/>
        </w:rPr>
        <w:t>. If this Indenture is qualified under the Trust Indenture Act, every amendment, waiver or supplement of this Indenture, the Notes or any Guaranty shall comply with the Trust Indenture Act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 Until an amendment, waiver or supplement becomes effective, a consent to it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his Note or portion of his Note by notice to the Trustee or the Issuers received before the date on which the Trustee receives an Officer’s Certificate certifying that the Holders of the requisite principal amount of Notes have consented (and not theretofore revoked such consent) to the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 The Issuers shall inform the Trustee in writing of the fixed record date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an amendment, supplement or waiver becomes effective, it shall bind every Holder, unless it makes a change described in any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in which case, the amendment, supplement or waiver shall bind only each Holder of a Note who has consented to it and every subsequent Holder of a Note or portion of a Note that evidences the same debt as the consenting Holder’s Note;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waiver shall not impair or affect the right of any Holder to receive payment of principal of, and interest on, a Note, on or after the respective due dates therefor, or to bring suit for the enforcement of any such payment on or after such respective dates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Notation on or Exchange of Notes</w:t>
      </w:r>
      <w:r>
        <w:rPr>
          <w:rFonts w:ascii="Times New Roman;Times;Serif" w:hAnsi="Times New Roman;Times;Serif"/>
          <w:b w:val="false"/>
          <w:i w:val="false"/>
          <w:caps w:val="false"/>
          <w:smallCaps w:val="false"/>
          <w:sz w:val="20"/>
        </w:rPr>
        <w:t>. If an amendment, supplement or waiver changes the terms of a Note, the Issuers may require the Holder of the Note to deliver it to the Trustee. The Issuers shall provide the Trustee with an appropriate notation on the Note about the changed terms and cause the Trustee to return it to the Holder at the Issuers’ expense. Alternatively, if the Issuers or the Trustee so determines, the Issuers in exchange for the Note shall issue, and the Trustee shall authenticate, a new Note that reflects the changed terms. Failure to make the appropriate notation or issue a new Note shall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val="false"/>
          <w:caps w:val="false"/>
          <w:smallCaps w:val="false"/>
          <w:sz w:val="20"/>
          <w:u w:val="single"/>
        </w:rPr>
        <w:t>Trustee To Sign Amendments, Etc</w:t>
      </w:r>
      <w:r>
        <w:rPr>
          <w:rFonts w:ascii="Times New Roman;Times;Serif" w:hAnsi="Times New Roman;Times;Serif"/>
          <w:b w:val="false"/>
          <w:i w:val="false"/>
          <w:caps w:val="false"/>
          <w:smallCaps w:val="false"/>
          <w:sz w:val="20"/>
        </w:rPr>
        <w:t xml:space="preserve">. The Trustee shall execute any amendment, supplement or waiver authorized pursuant to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Trustee may, but shall not be obligated to, execute any such amendment, supplement or waiver which affects the Trustee’s own rights, duties or immunities under this Indenture. The Trustee shall be entitled to receive, and shall be fully protected in relying upon, an Opinion of Counsel and an Officer’s Certificate each stating that the execution of any amendment, supplement or waiver authorized pursuant to this </w:t>
      </w:r>
      <w:r>
        <w:rPr>
          <w:rFonts w:ascii="Times New Roman;Times;Serif" w:hAnsi="Times New Roman;Times;Serif"/>
          <w:b w:val="false"/>
          <w:i w:val="false"/>
          <w:caps w:val="false"/>
          <w:smallCaps w:val="false"/>
          <w:sz w:val="20"/>
          <w:u w:val="single"/>
        </w:rPr>
        <w:t xml:space="preserve">Article IX </w:t>
      </w:r>
      <w:r>
        <w:rPr>
          <w:rFonts w:ascii="Times New Roman;Times;Serif" w:hAnsi="Times New Roman;Times;Serif"/>
          <w:b w:val="false"/>
          <w:i w:val="false"/>
          <w:caps w:val="false"/>
          <w:smallCaps w:val="false"/>
          <w:sz w:val="20"/>
        </w:rPr>
        <w:t>is authorized or permitted by this Indenture and all conditions precedent thereto have been complied with. Such Opinion of Counsel shall be at the expense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each of the Guarantors hereby, jointly and severally, unconditionally guarantees on a senior unsecured basis to each Holder of a Note authenticated and delivered by the Trustee and to the Trustee and its successors and assigns, irrespective of the validity and enforceability of this Indenture, the Notes or the obligations of the Issuers hereunder or thereunder, that: (a) the principal (and any premium) of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Subject to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hereof, each Guarantor hereby waives, to the extent permitted by applicable law, diligence, presentment, demand of payment, filing of claims with a court in the event of insolvency or bankruptcy of the Issuers, any right to require a proceeding first against the Issuers, protest, notice and all demands whatsoever and covenant that this Guaranty shall not be discharged except by complete performance of the obligations contained in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Holder or the Trustee is required by any court or otherwise to return to the Issuers, the Guarantors or any custodian, trustee, liquidator or other similar official acting in relation to either the Issuers or the Guarantors, any amount paid by either to the Trustee or such Holder, this Guaranty, to the extent theretofore discharged, shall be reinstated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for the purposes of this Guaranty, notwithstanding any stay, injunction or other prohibition preventing such acceleration in respect of the obligations guaranteed hereby and (y) in the event of any declaration of acceleration of such obligations as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such obligations (whether or not due and payable) shall forthwith become due and payable by the Guarantors for the purpose of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Limitation on Guarantor Liability</w:t>
      </w:r>
      <w:r>
        <w:rPr>
          <w:rFonts w:ascii="Times New Roman;Times;Serif" w:hAnsi="Times New Roman;Times;Serif"/>
          <w:b w:val="false"/>
          <w:i w:val="false"/>
          <w:caps w:val="false"/>
          <w:smallCaps w:val="false"/>
          <w:sz w:val="20"/>
        </w:rPr>
        <w:t xml:space="preserve">. Each Guarantor, and by its acceptance of Notes, each Holder, hereby confirms that it is the intention of all such parties that the Guaranty of such Guarantor not constitute (i) a fraudulent transfer or conveyance for purposes of Bankruptcy Law, the Uniform Fraudulent Conveyance Act, the Uniform Fraudulent Transfer Act or any similar federal or state law to the extent applicable to any Guaranty or (ii) an unlawful distribution under any applicable state law prohibiting shareholder distributions by an insolvent subsidiary to the extent applicable to any Guaranty. To effectuate the foregoing intention, the Trustee, the Holders and the Guarantors hereby irrevocably agree that the obligations of such Guarantor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result in the obligations of such Guarantor under its Guaranty not constituting a fraudulent transfer or conveyance or such unlawful shareholder distribution. Each Guarantor that makes a payment for distribution under its Guaranty is entitled to a contribution from each other Guarantor in a pro rata amount based on the adjusted net assets of each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Execution and Delivery of Guaranty</w:t>
      </w:r>
      <w:r>
        <w:rPr>
          <w:rFonts w:ascii="Times New Roman;Times;Serif" w:hAnsi="Times New Roman;Times;Serif"/>
          <w:b w:val="false"/>
          <w:i w:val="false"/>
          <w:caps w:val="false"/>
          <w:smallCaps w:val="false"/>
          <w:sz w:val="20"/>
        </w:rPr>
        <w:t xml:space="preserve">. To evidence its Guaranty set forth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each Guarantor hereby agrees that a notation of such Guaranty substantially in the form included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shall be endorsed by an Officer of such Guarantor on each Note authenticated and delivered by the Trustee and that this Indenture shall be executed on behalf of such Guarantor by an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hereby agrees that its Guaranty set forth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shall remain in full force and effect notwithstanding any failure to endorse on each Note a notation of such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this Indenture or on the Guaranty no longer holds that office at the time the Trustee authenticates the Note on which a Guaranty is endorsed, the Guaranty shall be valid nevertheless.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of any Note by the Trustee, after the authentication thereof hereunder, shall constitute due delivery of the Guaranty set forth in this Indenture on behalf of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Parent and the Issuers shall cause each Restricted Subsidiary that is required to become a Subsidiary Guarantor pursuant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and each Subsidiary of Parent that Parent or the Issuers cause to become a Subsidiary Guarantor pursuant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to promptly execute and deliver to the Trustee a Supplemental Indenture substantially in the form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to this Indenture, or otherwise in form and substance reasonably satisfactory to the Trustee, evidencing its Subsidiary Guaranty on substantially the terms set forth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Concurrently therewith, the Issuers shall deliver to the Trustee an Opinion of Counsel in form and substance reasonably satisfactory to the Trustee to the effect that such Supplemental Indenture has been duly authorized, executed and delivered by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Release of a Guarantor</w:t>
      </w:r>
      <w:r>
        <w:rPr>
          <w:rFonts w:ascii="Times New Roman;Times;Serif" w:hAnsi="Times New Roman;Times;Serif"/>
          <w:b w:val="false"/>
          <w:i w:val="false"/>
          <w:caps w:val="false"/>
          <w:smallCaps w:val="false"/>
          <w:sz w:val="20"/>
        </w:rPr>
        <w:t>. A Guarantor shall be automatically and unconditionally released from its obligations under its Guaranty and its obligations under this Indenture in the event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sale, exchange or transfer, to any Person that is not a Subsidiary of Parent or an Issuer of Capital Stock held by Parent or the Restricted Subsidiaries in, or all or substantially all the assets of, such Subsidiary Guarantor (which sale, exchange or transfer is not prohibited by this Indenture) such that, immediately after giving effect to such transaction, such Subsidiary Guarantor would no longer constitute a Subsidiary of Parent or an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merger or consolidation of a Subsidiary Guarantor with (a) Parent, (b) an Issuer or (c) any other Subsidiary Guarantor (provided that the surviving entity remains or becomes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Issuers properly designate any Subsidiary Guarantor as an Unrestricted Subsidiary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Legal Defeasance or Covenant Defeasance or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 liquidation or dissolution of a Subsidiary Guarantor permitted under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release or discharge of the Guaranty or Indebtedness that resulted in the creation of such Subsidiary Guaranty and any other Guaranty by such Subsidiary of the Credit Agreement and any other Capital Markets Indebtedness, except a discharge or release by or as a result of payment under such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execute an appropriate instrument prepared by the Issuers evidencing the release of a Guarantor from its obligations under its Guaranty and this Indenture upon receipt of a request by the Issuers or such Guarantor accompanied by an Officer’s Certificate and an Opinion of Counsel certifying as to the compliance with this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legal counsel delivering such Opinion of Counsel may rely as to matters of fact on one or more Officer’s Certificates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hereof, nothing contained in this Indenture or in any of the Notes shall prevent any consolidation or merger of a Guarantor with or into an Issuer (in which case such Guarantor shall no longer be a Guarantor) or another Guarantor or shall prevent any sale or conveyance of the property of a Guarantor as an entirety or substantially as an entirety to an Issuer or another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Trust Indenture Act Controls</w:t>
      </w:r>
      <w:r>
        <w:rPr>
          <w:rFonts w:ascii="Times New Roman;Times;Serif" w:hAnsi="Times New Roman;Times;Serif"/>
          <w:b w:val="false"/>
          <w:i w:val="false"/>
          <w:caps w:val="false"/>
          <w:smallCaps w:val="false"/>
          <w:sz w:val="20"/>
        </w:rPr>
        <w:t>. If any provision of this Indenture limits, qualifies, or conflicts with another provision which is required or deemed to be included in this Indenture by the Trust Indenture Act, such required or deemed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hereunder shall be in writing, and shall be sufficiently given if made by hand delivery, by telex, by nationally recognized overnight courier service, by telecopy or email or registered or certified mail, postage prepaid, return receipt requested,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Hotel Properties, LP</w:t>
        <w:br/>
        <w:t>RHP Finance Corporation</w:t>
        <w:br/>
        <w:t>c/o Ryman Hospitality Properties, Inc.</w:t>
        <w:br/>
        <w:t>One Gaylord Drive</w:t>
        <w:br/>
        <w:t>Nashville, Tennessee 37214</w:t>
        <w:br/>
        <w:t>Facsimile No.: (615) 316-6544</w:t>
        <w:br/>
        <w:t>Attention: Scott Lynn,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Bass, Berry &amp; Sims PLC</w:t>
        <w:br/>
        <w:t>21 Platform Way South, Suite 3500</w:t>
        <w:br/>
        <w:t>Nashville, Tennessee 37203</w:t>
        <w:br/>
        <w:t>Facsimile No.: (615) 742-6293</w:t>
        <w:br/>
        <w:t>Attention: F. Mitchell Walker, Jr.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Bass, Berry &amp; Sims PLC</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Platform Way South, Suite 3500</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 37203</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No.: (615) 742-6293</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Lori Morgan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any other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br/>
        <w:t>One Gaylord Drive</w:t>
        <w:br/>
        <w:t>Nashville, Tennessee 37214</w:t>
        <w:br/>
        <w:t>Facsimile No.: (615) 316-6544</w:t>
        <w:br/>
        <w:t>Attention: Scott Lynn,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br/>
        <w:t>Bass, Berry &amp; Sims PLC</w:t>
        <w:br/>
        <w:t>21 Platform Way South, Suite 3500</w:t>
        <w:br/>
        <w:t>Nashville, Tennessee 37203</w:t>
        <w:br/>
        <w:t>Facsimile No.: (615) 742-6293</w:t>
        <w:br/>
        <w:t>Attention: F. Mitchell Walker, Jr.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 copy to:</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Bass, Berry &amp; Sims PLC</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Platform Way South, Suite 3500</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 37203</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No.: (615) 742-6293</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Lori Morgan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111 Fillmore Avenue E</w:t>
        <w:br/>
        <w:t>EP-MN-WS3C</w:t>
        <w:br/>
        <w:t>Saint Paul, MN 55107-1419</w:t>
        <w:br/>
        <w:t>Fax No.: (651) 466-7430</w:t>
        <w:br/>
        <w:t>Attn: Corporate Trust Services, Ryman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Issuers and the Trustee by written notice to each other such Person may designate additional or different addresses for notices to such Person. Any notice or communication to the Issuers and the Trustee shall be deemed to have been given or made as of the date so delivered if personally delivered; when replied to; when receipt is acknowledged, if telecopied; five (5) calendar days after mailing if sent by registered or certified mail, postage prepaid (except that a notice of change of address shall not be deemed to have been given until actually received by the addressee); and next Business Day if by nationally recognized overnight courier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mailed to a Holder shall be mailed to such Holder by first class mail or other equivalent means at such Holder’s address as it appears on the registration books of the Registrar and shall be sufficiently given to such Holder if so mailed within the time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or any Note, where this Indenture or any Note provides for notice of any event (including any notice of redemption or repurchase) to a Holder (whether by mail or otherwise), so long as no Physical Notes are outstanding such notice shall be sufficiently given if given to the Depository (or its designee) pursuant to the standing instructions from the Depository or its designee, including by electronic mail in accordance with accepted practices or procedures at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val="false"/>
          <w:caps w:val="false"/>
          <w:smallCaps w:val="false"/>
          <w:sz w:val="20"/>
          <w:u w:val="single"/>
        </w:rPr>
        <w:t>Communications by Holders with Other Holders</w:t>
      </w:r>
      <w:r>
        <w:rPr>
          <w:rFonts w:ascii="Times New Roman;Times;Serif" w:hAnsi="Times New Roman;Times;Serif"/>
          <w:b w:val="false"/>
          <w:i w:val="false"/>
          <w:caps w:val="false"/>
          <w:smallCaps w:val="false"/>
          <w:sz w:val="20"/>
        </w:rPr>
        <w:t>. Holders may communicate pursuant to Trust Indenture Act § 312(b) with other Holders with respect to their rights under this Indenture, the Notes or any Guaranty. The Issuers, the Trustee, the Registrar and any other Person shall have the protection of Trust Indenture Act § 312(c).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 Upon any request or application by the Issuers to the Trustee to take any action under this Indenture, the Issuers shall furnish to the Trustee at the request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in form and substance satisfactory to the Trustee, stating that, in the opinion of the signers, all conditions precedent to be performed or effected by the Issuers, if any, provided for in this Indenture relating to the proposed action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 xml:space="preserve">. Each certificate or opinion with respect to compliance with a condition or covenant provided for in this Indenture, other than the Officer’s Certificate required by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or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each such Person, such condition or covenant has been complied 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r>
        <w:rPr>
          <w:rFonts w:ascii="Times New Roman;Times;Serif" w:hAnsi="Times New Roman;Times;Serif"/>
          <w:b w:val="false"/>
          <w:i w:val="false"/>
          <w:caps w:val="false"/>
          <w:smallCaps w:val="false"/>
          <w:sz w:val="20"/>
          <w:u w:val="single"/>
        </w:rPr>
        <w:t>Rules by Paying Agent or Registrar</w:t>
      </w:r>
      <w:r>
        <w:rPr>
          <w:rFonts w:ascii="Times New Roman;Times;Serif" w:hAnsi="Times New Roman;Times;Serif"/>
          <w:b w:val="false"/>
          <w:i w:val="false"/>
          <w:caps w:val="false"/>
          <w:smallCaps w:val="false"/>
          <w:sz w:val="20"/>
        </w:rPr>
        <w:t>. The Paying Agent or Registrar may make reasonable rules and set reasonable requirements for their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In any case where any date on which a payment under this Indenture is required to be made shall not be a Business Day, then (notwithstanding any other provision of this Indenture or of the Notes) payment of interest or principal and premium (if any) need not be made on such date, but may be made on the next succeeding Business Day with the same force and effect as if made on the first such date, and no interest shall accrue on such payment for the intervening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         </w:t>
      </w:r>
      <w:r>
        <w:rPr>
          <w:rFonts w:ascii="Times New Roman;Times;Serif" w:hAnsi="Times New Roman;Times;Serif"/>
          <w:b w:val="false"/>
          <w:i w:val="false"/>
          <w:caps w:val="false"/>
          <w:smallCaps w:val="false"/>
          <w:sz w:val="20"/>
          <w:u w:val="single"/>
        </w:rPr>
        <w:t>Governing Law; Waiver of Jury Trial</w:t>
      </w:r>
      <w:r>
        <w:rPr>
          <w:rFonts w:ascii="Times New Roman;Times;Serif" w:hAnsi="Times New Roman;Times;Serif"/>
          <w:b w:val="false"/>
          <w:i w:val="false"/>
          <w:caps w:val="false"/>
          <w:smallCaps w:val="false"/>
          <w:sz w:val="20"/>
        </w:rPr>
        <w:t>. This Indenture, the Notes and any Guaranty will be governed by and construed in accordance with the laws of the State of New York. Each of the parties hereto hereby irrevocably waives, to the fullest extent permitted by applicable law, any and all right to trial by jury in any legal proceeding arising out of or relating to this Indenture, the Notes, any Guaranty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 This Indenture may not be used to interpret another indenture, loan or debt agreement of any of the Issuers or any of their Subsidiaries. Any such indenture, loan or debt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No recourse for the payment of the principal of, premium, if any, or interest on any of the Notes or for any claim based thereon or otherwise in respect thereof, and no recourse under or upon any obligation, covenant or agreement of the Issuers or the Guarantors in this Indenture, or in any of the Notes or Guaranties or because of the creation of any Indebtedness represented hereby, shall be had against any incorporator, stockholder, officer, director, employee or controlling person of the Issuers or the Guarantors or of any successor Person thereof. Each Holder, by accepting the Notes, waives and releases all such liability. Such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agreements of the Issuers and the Subsidiary Guarantors in this Indenture, the Notes and any Guaranty shall bind their respective successors. All agreements of the Trustee in this Indenture shall bind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         </w:t>
      </w:r>
      <w:r>
        <w:rPr>
          <w:rFonts w:ascii="Times New Roman;Times;Serif" w:hAnsi="Times New Roman;Times;Serif"/>
          <w:b w:val="false"/>
          <w:i w:val="false"/>
          <w:caps w:val="false"/>
          <w:smallCaps w:val="false"/>
          <w:sz w:val="20"/>
          <w:u w:val="single"/>
        </w:rPr>
        <w:t>Duplicate Originals; Electronic Signatures</w:t>
      </w:r>
      <w:r>
        <w:rPr>
          <w:rFonts w:ascii="Times New Roman;Times;Serif" w:hAnsi="Times New Roman;Times;Serif"/>
          <w:b w:val="false"/>
          <w:i w:val="false"/>
          <w:caps w:val="false"/>
          <w:smallCaps w:val="false"/>
          <w:sz w:val="20"/>
        </w:rPr>
        <w:t xml:space="preserve">. All parties may sign any number of copies of this Indenture. Each signed copy or counterpart shall be an original, but all of them together shall represent the same agreement. Delivery of an executed counterpart of a signature page to this Indenture by facsimile, .pdf transmission, email or other electronic means shall be effective as delivery of a manually executed counterpart of this Indenture. Notwithstanding anything to the contrary in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this Indenture and any notice or other communication sent to the Trustee hereunder requiring a signature must be signed manually or by way of a digital signature provided by DocuSign (or such other digital signature provider as specified in writing by the Trustee from time to time). Issuers agree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To the extent permitted by applicable law, in case any one or more of the provisions in this Indenture, in the Notes or in any Guaranty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11.14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11.15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75"/>
        <w:gridCol w:w="329"/>
        <w:gridCol w:w="561"/>
        <w:gridCol w:w="3748"/>
      </w:tblGrid>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HOTEL PROPERTIES, LP</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Issuer</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09" w:type="dxa"/>
            <w:gridSpan w:val="2"/>
            <w:tcBorders/>
            <w:vAlign w:val="center"/>
          </w:tcPr>
          <w:p>
            <w:pPr>
              <w:pStyle w:val="TableContents"/>
              <w:bidi w:val="0"/>
              <w:spacing w:before="0" w:after="283"/>
              <w:jc w:val="left"/>
              <w:rPr/>
            </w:pPr>
            <w:r>
              <w:rPr/>
              <w:t>RHP Partner, LLC,</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sole general partner of RHP Hotel Properties, LP</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09"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8"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8"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37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FINANCE CORPORATION</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Issuer</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09"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8"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8"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37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RYMAN HOSPITALITY PROPERTIES,INC.</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Parent and a Guarantor</w:t>
            </w:r>
          </w:p>
        </w:tc>
      </w:tr>
      <w:tr>
        <w:trPr/>
        <w:tc>
          <w:tcPr>
            <w:tcW w:w="75"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09"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8"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8"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t> </w:t>
      </w:r>
    </w:p>
    <w:p>
      <w:pPr>
        <w:pStyle w:val="TextBody"/>
        <w:bidi w:val="0"/>
        <w:spacing w:before="0" w:after="0"/>
        <w:jc w:val="center"/>
        <w:rPr>
          <w:i/>
          <w:sz w:val="20"/>
          <w:bdr w:val="single" w:sz="8" w:space="1" w:color="000000"/>
        </w:rPr>
      </w:pPr>
      <w:r>
        <w:rPr>
          <w:i/>
          <w:sz w:val="20"/>
          <w:bdr w:val="single" w:sz="8" w:space="1" w:color="000000"/>
        </w:rPr>
        <w:t>[Signature Page to Indenture]</w:t>
      </w:r>
    </w:p>
    <w:p>
      <w:pPr>
        <w:pStyle w:val="TextBody"/>
        <w:bidi w:val="0"/>
        <w:spacing w:before="0" w:after="283"/>
        <w:jc w:val="left"/>
        <w:rPr/>
      </w:pPr>
      <w:r>
        <w:rPr/>
        <w:t> </w:t>
      </w:r>
    </w:p>
    <w:tbl>
      <w:tblPr>
        <w:tblW w:w="5254" w:type="dxa"/>
        <w:jc w:val="left"/>
        <w:tblInd w:w="0" w:type="dxa"/>
        <w:tblLayout w:type="fixed"/>
        <w:tblCellMar>
          <w:top w:w="0" w:type="dxa"/>
          <w:left w:w="0" w:type="dxa"/>
          <w:bottom w:w="0" w:type="dxa"/>
          <w:right w:w="0" w:type="dxa"/>
        </w:tblCellMar>
      </w:tblPr>
      <w:tblGrid>
        <w:gridCol w:w="75"/>
        <w:gridCol w:w="681"/>
        <w:gridCol w:w="1162"/>
        <w:gridCol w:w="3336"/>
      </w:tblGrid>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AURORA CONVENTION CENTER HOTEL, LLC</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8"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36"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36"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AURORA CONVENTION CENTER HOTEL INVESTORS, LLC</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8"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36"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36"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OPRYLAND HOSPITALITY, LLC</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8"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36"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36"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RHPAHP, LLC</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8"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36"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36"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HOTELS, LLC</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51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8"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36"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36"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 </w:t>
            </w:r>
          </w:p>
        </w:tc>
      </w:tr>
    </w:tbl>
    <w:p>
      <w:pPr>
        <w:pStyle w:val="TextBody"/>
        <w:bidi w:val="0"/>
        <w:spacing w:before="0" w:after="0"/>
        <w:jc w:val="center"/>
        <w:rPr>
          <w:i/>
          <w:sz w:val="20"/>
          <w:bdr w:val="single" w:sz="8" w:space="1" w:color="000000"/>
        </w:rPr>
      </w:pPr>
      <w:r>
        <w:rPr>
          <w:i/>
          <w:sz w:val="20"/>
          <w:bdr w:val="single" w:sz="8" w:space="1" w:color="000000"/>
        </w:rPr>
        <w:t>[Signature Page to Indenture]</w:t>
      </w:r>
    </w:p>
    <w:p>
      <w:pPr>
        <w:pStyle w:val="TextBody"/>
        <w:bidi w:val="0"/>
        <w:spacing w:before="0" w:after="283"/>
        <w:jc w:val="left"/>
        <w:rPr/>
      </w:pPr>
      <w:r>
        <w:rPr/>
        <w:t> </w:t>
      </w:r>
    </w:p>
    <w:tbl>
      <w:tblPr>
        <w:tblW w:w="3874" w:type="dxa"/>
        <w:jc w:val="left"/>
        <w:tblInd w:w="0" w:type="dxa"/>
        <w:tblLayout w:type="fixed"/>
        <w:tblCellMar>
          <w:top w:w="0" w:type="dxa"/>
          <w:left w:w="0" w:type="dxa"/>
          <w:bottom w:w="0" w:type="dxa"/>
          <w:right w:w="0" w:type="dxa"/>
        </w:tblCellMar>
      </w:tblPr>
      <w:tblGrid>
        <w:gridCol w:w="75"/>
        <w:gridCol w:w="406"/>
        <w:gridCol w:w="875"/>
        <w:gridCol w:w="2518"/>
      </w:tblGrid>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PARTNER, LLC</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3"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18"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8"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AR, LLC</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3"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18"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8"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GP, LP</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3" w:type="dxa"/>
            <w:gridSpan w:val="2"/>
            <w:tcBorders/>
            <w:vAlign w:val="center"/>
          </w:tcPr>
          <w:p>
            <w:pPr>
              <w:pStyle w:val="TableContents"/>
              <w:bidi w:val="0"/>
              <w:spacing w:before="0" w:after="283"/>
              <w:jc w:val="left"/>
              <w:rPr/>
            </w:pPr>
            <w:r>
              <w:rPr/>
              <w:t>Opryland Hospitality, LLC,</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sole general partner of RHP Property GP, LP</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39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3"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18"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8"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GT, LLC</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37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3"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18"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8"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r>
    </w:tbl>
    <w:p>
      <w:pPr>
        <w:pStyle w:val="TextBody"/>
        <w:bidi w:val="0"/>
        <w:spacing w:before="0" w:after="0"/>
        <w:jc w:val="center"/>
        <w:rPr>
          <w:i/>
          <w:sz w:val="20"/>
          <w:bdr w:val="single" w:sz="8" w:space="1" w:color="000000"/>
        </w:rPr>
      </w:pPr>
      <w:r>
        <w:rPr>
          <w:i/>
          <w:sz w:val="20"/>
          <w:bdr w:val="single" w:sz="8" w:space="1" w:color="000000"/>
        </w:rPr>
        <w:t>[Signature Page to Indenture]</w:t>
      </w:r>
    </w:p>
    <w:p>
      <w:pPr>
        <w:pStyle w:val="TextBody"/>
        <w:bidi w:val="0"/>
        <w:spacing w:before="0" w:after="283"/>
        <w:jc w:val="left"/>
        <w:rPr/>
      </w:pPr>
      <w:r>
        <w:rPr/>
        <w:t> </w:t>
      </w:r>
    </w:p>
    <w:tbl>
      <w:tblPr>
        <w:tblW w:w="5058" w:type="dxa"/>
        <w:jc w:val="left"/>
        <w:tblInd w:w="0" w:type="dxa"/>
        <w:tblLayout w:type="fixed"/>
        <w:tblCellMar>
          <w:top w:w="0" w:type="dxa"/>
          <w:left w:w="0" w:type="dxa"/>
          <w:bottom w:w="0" w:type="dxa"/>
          <w:right w:w="0" w:type="dxa"/>
        </w:tblCellMar>
      </w:tblPr>
      <w:tblGrid>
        <w:gridCol w:w="75"/>
        <w:gridCol w:w="531"/>
        <w:gridCol w:w="1148"/>
        <w:gridCol w:w="3304"/>
      </w:tblGrid>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GT, LP</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52" w:type="dxa"/>
            <w:gridSpan w:val="2"/>
            <w:tcBorders/>
            <w:vAlign w:val="center"/>
          </w:tcPr>
          <w:p>
            <w:pPr>
              <w:pStyle w:val="TableContents"/>
              <w:bidi w:val="0"/>
              <w:spacing w:before="0" w:after="283"/>
              <w:jc w:val="left"/>
              <w:rPr/>
            </w:pPr>
            <w:r>
              <w:rPr/>
              <w:t>Opryland Hospitality, LLC,</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sole general partner of RHP Property GT, LP</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52"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04"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04"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33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NH, LLC</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52"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04"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04"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33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SA, LLC</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52" w:type="dxa"/>
            <w:gridSpan w:val="2"/>
            <w:tcBorders>
              <w:bottom w:val="single" w:sz="8" w:space="0" w:color="000000"/>
            </w:tcBorders>
            <w:tcMar>
              <w:bottom w:w="28" w:type="dxa"/>
            </w:tcMar>
            <w:vAlign w:val="center"/>
          </w:tcPr>
          <w:p>
            <w:pPr>
              <w:pStyle w:val="TableContents"/>
              <w:bidi w:val="0"/>
              <w:spacing w:before="0" w:after="283"/>
              <w:jc w:val="left"/>
              <w:rPr/>
            </w:pPr>
            <w:r>
              <w:rPr/>
              <w:t>/s/ Mark Fioravanti</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04" w:type="dxa"/>
            <w:tcBorders/>
            <w:vAlign w:val="center"/>
          </w:tcPr>
          <w:p>
            <w:pPr>
              <w:pStyle w:val="TableContents"/>
              <w:bidi w:val="0"/>
              <w:spacing w:before="0" w:after="283"/>
              <w:jc w:val="left"/>
              <w:rPr/>
            </w:pPr>
            <w:r>
              <w:rPr/>
              <w:t>Mark Fioravanti</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04"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33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52" w:type="dxa"/>
            <w:gridSpan w:val="2"/>
            <w:tcBorders>
              <w:bottom w:val="single" w:sz="8" w:space="0" w:color="000000"/>
            </w:tcBorders>
            <w:tcMar>
              <w:bottom w:w="28" w:type="dxa"/>
            </w:tcMar>
            <w:vAlign w:val="center"/>
          </w:tcPr>
          <w:p>
            <w:pPr>
              <w:pStyle w:val="TableContents"/>
              <w:bidi w:val="0"/>
              <w:spacing w:before="0" w:after="283"/>
              <w:jc w:val="left"/>
              <w:rPr/>
            </w:pPr>
            <w:r>
              <w:rPr/>
              <w:t>/s/ Joshua A. Han</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04" w:type="dxa"/>
            <w:tcBorders/>
            <w:vAlign w:val="center"/>
          </w:tcPr>
          <w:p>
            <w:pPr>
              <w:pStyle w:val="TableContents"/>
              <w:bidi w:val="0"/>
              <w:spacing w:before="0" w:after="283"/>
              <w:jc w:val="left"/>
              <w:rPr/>
            </w:pPr>
            <w:r>
              <w:rPr/>
              <w:t>Joshua A. Hahn</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04" w:type="dxa"/>
            <w:tcBorders/>
            <w:vAlign w:val="center"/>
          </w:tcPr>
          <w:p>
            <w:pPr>
              <w:pStyle w:val="TableContents"/>
              <w:bidi w:val="0"/>
              <w:spacing w:before="0" w:after="283"/>
              <w:jc w:val="left"/>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i/>
          <w:sz w:val="20"/>
          <w:bdr w:val="single" w:sz="8" w:space="1" w:color="000000"/>
        </w:rPr>
      </w:pPr>
      <w:r>
        <w:rPr>
          <w:i/>
          <w:sz w:val="20"/>
          <w:bdr w:val="single" w:sz="8" w:space="1" w:color="000000"/>
        </w:rPr>
        <w:t>[Signature Page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[Insert the Global Note Legend, if applicable pursuant to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[Insert the Private Placement Legend, if applicable pursuant to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HOTEL PROPERTIES, LP</w:t>
        <w:br/>
        <w:t>RHP FINANCE CORPORATION</w:t>
        <w:br/>
        <w:t>6.250% Senior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HOTEL PROPERTIES, LP, a Delaware limited partnership, and RHP FINANCE CORPORATION, a Delaware corporation (the “Issuers”), for value received promise to pay to Cede &amp; Co., or its registered assigns, the principal sum of [ ] DOLLARS ($[__]) [or such other amount as is provided in a schedule attached hereto]</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on February 15,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February 15 and August 15, commencing February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February 1 and August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contained herein, which will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Issuers have caused this Note to be signed manually or by facsimile by its duly authorized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2764" w:type="dxa"/>
        <w:jc w:val="left"/>
        <w:tblInd w:w="0" w:type="dxa"/>
        <w:tblLayout w:type="fixed"/>
        <w:tblCellMar>
          <w:top w:w="0" w:type="dxa"/>
          <w:left w:w="0" w:type="dxa"/>
          <w:bottom w:w="0" w:type="dxa"/>
          <w:right w:w="0" w:type="dxa"/>
        </w:tblCellMar>
      </w:tblPr>
      <w:tblGrid>
        <w:gridCol w:w="75"/>
        <w:gridCol w:w="919"/>
        <w:gridCol w:w="1770"/>
      </w:tblGrid>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HOTEL PROPERTIES, LP</w:t>
            </w:r>
          </w:p>
        </w:tc>
      </w:tr>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FINANCE CORPORATION</w:t>
            </w:r>
          </w:p>
        </w:tc>
      </w:tr>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Issuers,</w:t>
            </w:r>
          </w:p>
        </w:tc>
      </w:tr>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7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This language should be included only if the Note is issued in global form.</w:t>
      </w:r>
    </w:p>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0" w:after="0"/>
        <w:ind w:left="4320" w:right="0" w:firstLine="720"/>
        <w:jc w:val="center"/>
        <w:rPr>
          <w:sz w:val="20"/>
          <w:bdr w:val="single" w:sz="8" w:space="1" w:color="000000"/>
        </w:rPr>
      </w:pPr>
      <w:r>
        <w:rPr>
          <w:sz w:val="20"/>
          <w:bdr w:val="single" w:sz="8" w:space="1" w:color="000000"/>
        </w:rPr>
        <w:t>A-1</w:t>
      </w:r>
    </w:p>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6.250% Senior Notes due 2035 described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49" w:type="dxa"/>
        <w:jc w:val="left"/>
        <w:tblInd w:w="0" w:type="dxa"/>
        <w:tblLayout w:type="fixed"/>
        <w:tblCellMar>
          <w:top w:w="0" w:type="dxa"/>
          <w:left w:w="0" w:type="dxa"/>
          <w:bottom w:w="0" w:type="dxa"/>
          <w:right w:w="0" w:type="dxa"/>
        </w:tblCellMar>
      </w:tblPr>
      <w:tblGrid>
        <w:gridCol w:w="75"/>
        <w:gridCol w:w="3938"/>
        <w:gridCol w:w="1136"/>
      </w:tblGrid>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6.250% Senior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Indenture referred to below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RHP Hotel Properties, LP, a Delaware limited partnership, and RHP Finance Corporation, a Delaware corporation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promise to pay interest on the principal amount of this Note at 6.250% per annum from August 25, 2026, until maturity. The Issuers will pay interest semi-annually on February 15 and August 15 of each year, or if any such day is not a Business Day, on the next succeeding Business Day (each an “</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commencing February 15, 2027. Interest on the Notes will accrue from the most recent date to which interest has been paid or, if no interest has been paid, from August 25, 2026. The Issuers shall pay interest on overdue principal and premium, if any, from time to time on demand to the extent lawful at the interest rate applicable to the Notes; it shall pay interest on overdue installments of interest (without regard to any applicable grace periods) from time to time on demand at the same rate to the extent lawful. Interest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The Issuers will pay interest on the Notes to the Persons who are registered Holders at the close of business on the February 1 or August 1 next preceding the Interest Payment Date, even if such Notes are canceled after such record date and on or before such Interest Payment Date, except as provided in Section 2.12 of the Indenture with respect to defaulted interest. The Notes will be issued in denominations of $2,000 and integral multiples of $1,000 in excess thereof. The Issuers shall pay principal, premium, if any, and interest on the Notes in such coin or currency of the United States of America as at the time of payment is legal tender for payment of public and private debts (“</w:t>
      </w:r>
      <w:r>
        <w:rPr>
          <w:rFonts w:ascii="Times New Roman;Times;Serif" w:hAnsi="Times New Roman;Times;Serif"/>
          <w:b w:val="false"/>
          <w:i w:val="false"/>
          <w:caps w:val="false"/>
          <w:smallCaps w:val="false"/>
          <w:sz w:val="20"/>
          <w:u w:val="single"/>
        </w:rPr>
        <w:t>U.S. Legal Tender</w:t>
      </w:r>
      <w:r>
        <w:rPr>
          <w:rFonts w:ascii="Times New Roman;Times;Serif" w:hAnsi="Times New Roman;Times;Serif"/>
          <w:b w:val="false"/>
          <w:i w:val="false"/>
          <w:caps w:val="false"/>
          <w:smallCaps w:val="false"/>
          <w:sz w:val="20"/>
        </w:rPr>
        <w:t>”). Principal, premium, if any, and interest on the Notes will be payable at the office or agency of the Issuers maintained for such purpose [except that, at the option of the Issuers, the payment of interest may be made by check mailed to the Holders at their respective addresses set forth in the register of Holders of Notes].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Until otherwise designated by the Issuers, the Issuers’ office or agency will be the office of the Trustee maintained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Paying Agent and Registrar</w:t>
      </w:r>
      <w:r>
        <w:rPr>
          <w:rFonts w:ascii="Times New Roman;Times;Serif" w:hAnsi="Times New Roman;Times;Serif"/>
          <w:b w:val="false"/>
          <w:i w:val="false"/>
          <w:caps w:val="false"/>
          <w:smallCaps w:val="false"/>
          <w:sz w:val="20"/>
        </w:rPr>
        <w:t>. Initially, U.S. Bank Trust Company, National Association, the Trustee under the Indenture, will act as Paying Agent and Registrar. The Issuers may change any Paying Agent or Registrar without notice to any Holder. Except as provided in the Indenture, Parent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Issuers issued the Notes under an Indenture, dated as of August 25, 2026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by and among the Issuers, Ryman Hospitality Properties, Inc., a Delaware corporation, as a Guarantor, the other Guarantors and the Trustee. Subject to the terms of the Indenture, the Issuers shall be entitled to issue Additional Notes pursuant to Section 2.01 of the Indenture. The terms of the Notes include those stated in the Indenture and those made part of the Indenture by reference to the Trust Indenture Act of 1939, as amended (15 U.S. Code §§ 77aaa-77bbbb)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be included only in Physical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Prior to August 15, 2029, the Issuers will be entitled at their option to redeem all or any portion of the Notes at a redemption price equal to 100% of the principal amount of such Notes plus the Applicable Premium as of, and any accrued and unpaid interest, if any, up to, but excluding, the Redemption Date (subject to the right of each Holder on the relevant Record Date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August 15, 2029, the Issuers may redeem the Notes in whole or from time to time in part, at the Redemption Prices (expressed as percentages of the principal amount thereof) set forth below, plus accrued and unpaid interest, if any, up to, but excluding, the Redemption Date (subject to the right of Holders of record on the relevant record date to receive interest due on the relevant Interest Payment Date), if redeemed during the 12-month period beginning on August 15 of each of the years indicated below:</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28" w:type="dxa"/>
          <w:right w:w="0" w:type="dxa"/>
        </w:tblCellMar>
      </w:tblPr>
      <w:tblGrid>
        <w:gridCol w:w="1610"/>
        <w:gridCol w:w="60"/>
        <w:gridCol w:w="76"/>
        <w:gridCol w:w="889"/>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101.563</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Optional Redemption upon Equity Offerings</w:t>
      </w:r>
      <w:r>
        <w:rPr>
          <w:rFonts w:ascii="Times New Roman;Times;Serif" w:hAnsi="Times New Roman;Times;Serif"/>
          <w:b w:val="false"/>
          <w:i w:val="false"/>
          <w:caps w:val="false"/>
          <w:smallCaps w:val="false"/>
          <w:sz w:val="20"/>
        </w:rPr>
        <w:t xml:space="preserve">. At any time prior to August 15, 2029, the Issuers may redeem, on any one or more occasions, with all or a portion of the net cash proceeds of one or more Equity Offerings (within 90 days of the consummation of any such Equity Offering), up to 40% of the aggregate principal amount of the Notes (including any Additional Notes) at a Redemption Price (expressed as a percentage of the aggregate principal amount of the Notes so redeemed) equal to 106.250% plus accrued and unpaid interest, if any, up to, but excluding, the Redemption Date (subject to the right of Holders of record on the relevant record date to receive interest due on the relevant interest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least 60% of the original aggregate principal amount of the Notes must remain outstanding immediately after each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of the Indenture, notice of any optional redemption of any Notes will be given to Holders at their addresses, as shown in the Notes register, not more than 60 nor less than 15 days prior to the date fixed for redemption. The notice of redemption will specify, among other items, the Redemption Price and the principal amount of the Notes held by the holder to be redeemed and the conditions precedent, if any, to the redemption. If the Redemption Price is not ascertainable at the time of notice, a notice of redemption shall instead include a brief summary of the manner of calculation of the Redemption Price and a supplemental notice will be given to the Holders (with a copy to the Trustee) upon such Redemption Price becoming ascertainable. No Notes of $2,000 or less shall be redeemed in part. On and after the Redemption Date interest ceases to accrue on Notes or portions thereof called for redemption subject to Section 3.04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Special Mandatory Redemption shall be sent in accordance with Section 3.08(a)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Mandatory Redemption and Sinking Fund Payments</w:t>
      </w:r>
      <w:r>
        <w:rPr>
          <w:rFonts w:ascii="Times New Roman;Times;Serif" w:hAnsi="Times New Roman;Times;Serif"/>
          <w:b w:val="false"/>
          <w:i w:val="false"/>
          <w:caps w:val="false"/>
          <w:smallCaps w:val="false"/>
          <w:sz w:val="20"/>
        </w:rPr>
        <w:t>. Except as set forth in Section 3.08 of the Indenture, the Issuers shall not be required to make mandatory redemption payments with respect to the Notes. The Issuers shall not be required to make sinking fund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Repurchase at Option of Holder</w:t>
      </w:r>
      <w:r>
        <w:rPr>
          <w:rFonts w:ascii="Times New Roman;Times;Serif" w:hAnsi="Times New Roman;Times;Serif"/>
          <w:b w:val="false"/>
          <w:i w:val="false"/>
          <w:caps w:val="false"/>
          <w:smallCaps w:val="false"/>
          <w:sz w:val="20"/>
        </w:rPr>
        <w:t>. Upon the occurrence of a Change of Control Triggering Event, and subject to certain conditions set forth in the Indenture, the Issuers will be required to offer to purchase all of the outstanding Notes at a purchase price equal to 101% of the principal amount thereof, plus accrued and unpaid interest, if any, up to, but excluding, the date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are, subject to certain conditions and exceptions set forth in the Indenture, obligated to make an offer to purchase Notes at 100% of their principal amount, plus accrued and unpaid interest, if any, up to, but excluding, the date of repurchase, with certain Net Cash Proceeds of certain sales or other dispositions of assets in accordance with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Denominations, Transfer Exchange</w:t>
      </w:r>
      <w:r>
        <w:rPr>
          <w:rFonts w:ascii="Times New Roman;Times;Serif" w:hAnsi="Times New Roman;Times;Serif"/>
          <w:b w:val="false"/>
          <w:i w:val="false"/>
          <w:caps w:val="false"/>
          <w:smallCaps w:val="false"/>
          <w:sz w:val="20"/>
        </w:rPr>
        <w:t>.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and the Registrar are not required to transfer or exchange any Note selected for redemption. Also, the Issuers and the Registrar are not required to transfer or exchange any Notes for a period of 15 days before a selection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Amendment, Supplement and Waiver</w:t>
      </w:r>
      <w:r>
        <w:rPr>
          <w:rFonts w:ascii="Times New Roman;Times;Serif" w:hAnsi="Times New Roman;Times;Serif"/>
          <w:b w:val="false"/>
          <w:i w:val="false"/>
          <w:caps w:val="false"/>
          <w:smallCaps w:val="false"/>
          <w:sz w:val="20"/>
        </w:rPr>
        <w:t>. Subject to certain exceptions, the Indenture and the Notes may be amended or supplemented with the written consent of the Holders of at least a majority in aggregate principal amount of the Notes then outstanding, and any existing Default or compliance with any provision may be waived with the consent of the Holders of a majority in aggregate principal amount of the Notes then outstanding. Without notice to or consent of any Holder, the parties thereto may amend or supplement the Indenture, the Notes and the Guaranties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Defaults and Remedies</w:t>
      </w:r>
      <w:r>
        <w:rPr>
          <w:rFonts w:ascii="Times New Roman;Times;Serif" w:hAnsi="Times New Roman;Times;Serif"/>
          <w:b w:val="false"/>
          <w:i w:val="false"/>
          <w:caps w:val="false"/>
          <w:smallCaps w:val="false"/>
          <w:sz w:val="20"/>
        </w:rPr>
        <w:t xml:space="preserve">. If an Event of Default occurs and is continuing (other than as specified in </w:t>
      </w:r>
      <w:r>
        <w:rPr>
          <w:rFonts w:ascii="Times New Roman;Times;Serif" w:hAnsi="Times New Roman;Times;Serif"/>
          <w:b w:val="false"/>
          <w:i w:val="false"/>
          <w:caps w:val="false"/>
          <w:smallCaps w:val="false"/>
          <w:sz w:val="20"/>
          <w:u w:val="single"/>
        </w:rPr>
        <w:t>clauses (h)</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that occurs with respect to an Issuer), the Trustee or the Holders of at least 25% in principal amount of the then outstanding Notes may declare the principal of, premium, if any, and accrued interest on the Notes to be due and payable immediately in accordance with the provisions of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Notwithstanding the foregoing, in the case of an Event of Default arising from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respect to an Issuer, all outstanding Notes will become due and payable without further action or notice.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if it determines that withholding notice is in their interest in accordance with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The Holders of a majority in aggregate principal amount of the Notes then outstanding by notice to the Trustee may on behalf of the Holders of all of the Notes waive any existing Default and its consequences under the Indenture except a Default in the payment of principal of, or interest on, any Note as specified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The Indenture contains certain covenants as set forth in Article IV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No recourse for the payment of the principal of, premium, if any, or interest on any of the Notes or for any claim based thereon or otherwise in respect thereof, and no recourse under or upon any obligation, covenant or agreement of the Issuers or the Guarantors in the Indenture, or in any of the Notes or any Guaranty or because of the creation of any Indebtedness represented thereby, shall be had against any incorporator, stockholder, officer, director, employee or controlling person of the Issuers or the Guarantors or of any successor Person thereof. Each Holder, by accepting the Notes, waives and releases all such liability. Such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Guaranties</w:t>
      </w:r>
      <w:r>
        <w:rPr>
          <w:rFonts w:ascii="Times New Roman;Times;Serif" w:hAnsi="Times New Roman;Times;Serif"/>
          <w:b w:val="false"/>
          <w:i w:val="false"/>
          <w:caps w:val="false"/>
          <w:smallCaps w:val="false"/>
          <w:sz w:val="20"/>
        </w:rPr>
        <w:t>. This Note will be entitled to the benefits of certain Guaranties made for the benefit of the Holders. Reference is hereby made to the Indenture for a statement of the respective rights, limitations of rights, duties and obligations thereunder of the Guarantors, the Trustee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 This Note shall not be valid until authenticated by the manual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Abbreviations</w:t>
      </w:r>
      <w:r>
        <w:rPr>
          <w:rFonts w:ascii="Times New Roman;Times;Serif" w:hAnsi="Times New Roman;Times;Serif"/>
          <w:b w:val="false"/>
          <w:i w:val="false"/>
          <w:caps w:val="false"/>
          <w:smallCaps w:val="false"/>
          <w:sz w:val="20"/>
        </w:rPr>
        <w:t>. Customary abbreviations may be used in the name of a Holder or an assignee, such as: TEN COM (= tenants in common), TEN ENT (= tenants by the entirety),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CUSIP and ISIN Numbers</w:t>
      </w:r>
      <w:r>
        <w:rPr>
          <w:rFonts w:ascii="Times New Roman;Times;Serif" w:hAnsi="Times New Roman;Times;Serif"/>
          <w:b w:val="false"/>
          <w:i w:val="false"/>
          <w:caps w:val="false"/>
          <w:smallCaps w:val="false"/>
          <w:sz w:val="20"/>
        </w:rPr>
        <w:t>. Pursuant to a recommendation promulgated by the Committee on Uniform Security Identification Procedures, the Issuers have caused CUSIP and ISIN numbers to be printed on the Notes and the Trustee may use CUSIP or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Note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will furnish to any Holder upon written request and without charge a copy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 agent to transfer this Note on the books of the Issuers.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670"/>
        <w:gridCol w:w="7745"/>
      </w:tblGrid>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r>
      <w:tr>
        <w:trPr/>
        <w:tc>
          <w:tcPr>
            <w:tcW w:w="167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77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name appears on the other side of this Note)</w:t>
            </w:r>
          </w:p>
        </w:tc>
      </w:tr>
      <w:tr>
        <w:trPr/>
        <w:tc>
          <w:tcPr>
            <w:tcW w:w="167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Guaranty:</w:t>
            </w:r>
          </w:p>
        </w:tc>
        <w:tc>
          <w:tcPr>
            <w:tcW w:w="77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Medallion Program (or other signature guarantor program reasonably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this Note occurring prior to the date which is the date following the second anniversary of the original issuance of this Note, the undersigned confirms that it has not utilized any general solicitation or general advertising in connection with the transfer and is making the transfer pursuant to one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to the Issuers or a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         to a person who the transferor reasonably believes is a “qualified institutional buyer” pursuant to and in compliance with Rule 144A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outside the United States to a non-“U.S. person” as defined in Rule 902 of Regulation S under the Securities Act in compliance with Rule 904 of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         pursuant to the exemption from registration provided by Rule 144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pursuant to an effective registration statement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such Note is not being transferred to an “affiliate” of the Issuers as defined in Rule 144 under the Securities Act (an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         The transferee is an Affiliate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one of the foregoing items (1) through (6) is checked, the Trustee will refuse to register any of the Notes evidenced by this certificate in the name of any person other than the registered Holder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item (3) or (4) is checked, the Issuers or the Trustee may require, prior to registering any such transfer of the Notes, in their sole discretion, such written legal opinions, certifications (including an investment letter in the case of box (3)) and other information as the Trustee or the Issuers has reasonably requested to confirm that such transfer is being made pursuant to an exemption from, or in a transaction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none of the foregoing items (1) through (5) are checked, the Trustee or Registrar shall not be obligated to register this Note in the name of any person other than the Holder hereof unless and until the conditions to any such transfer of registration set forth herein and in Section 2.15 of the Indenture shall have been satisfied.</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3650"/>
        <w:gridCol w:w="4910"/>
      </w:tblGrid>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r>
      <w:tr>
        <w:trPr/>
        <w:tc>
          <w:tcPr>
            <w:tcW w:w="365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49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name appears on the other side of this Note)</w:t>
            </w:r>
          </w:p>
        </w:tc>
      </w:tr>
      <w:tr>
        <w:trPr/>
        <w:tc>
          <w:tcPr>
            <w:tcW w:w="365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Guaranty:</w:t>
            </w:r>
          </w:p>
        </w:tc>
        <w:tc>
          <w:tcPr>
            <w:tcW w:w="49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Medallion Program (or other signature</w:t>
            </w:r>
          </w:p>
        </w:tc>
        <w:tc>
          <w:tcPr>
            <w:tcW w:w="491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 program reasonably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COMPLETED BY PURCHASER IF (2) ABOVE IS CHECKED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75"/>
        <w:gridCol w:w="4730"/>
      </w:tblGrid>
      <w:tr>
        <w:trPr/>
        <w:tc>
          <w:tcPr>
            <w:tcW w:w="75" w:type="dxa"/>
            <w:tcBorders/>
            <w:vAlign w:val="center"/>
          </w:tcPr>
          <w:p>
            <w:pPr>
              <w:pStyle w:val="TableContents"/>
              <w:bidi w:val="0"/>
              <w:spacing w:before="0" w:after="283"/>
              <w:jc w:val="left"/>
              <w:rPr/>
            </w:pPr>
            <w:r>
              <w:rPr/>
              <w:t> </w:t>
            </w:r>
          </w:p>
        </w:tc>
        <w:tc>
          <w:tcPr>
            <w:tcW w:w="473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NOTICE: To be executed by an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Issuers pursuant to Section 4.07 or Section 4.11 of the Indenture,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want to elect to have only part of this Note purchased by the Issuers pursuant to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of the Indenture, state the amount (in denominations of $2,000 and integral multiples of $1,000 in excess thereof): $___________</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3650"/>
        <w:gridCol w:w="4910"/>
      </w:tblGrid>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r>
      <w:tr>
        <w:trPr/>
        <w:tc>
          <w:tcPr>
            <w:tcW w:w="365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49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name appears on the other side of this Note)</w:t>
            </w:r>
          </w:p>
        </w:tc>
      </w:tr>
      <w:tr>
        <w:trPr/>
        <w:tc>
          <w:tcPr>
            <w:tcW w:w="365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Guaranty:</w:t>
            </w:r>
          </w:p>
        </w:tc>
        <w:tc>
          <w:tcPr>
            <w:tcW w:w="49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Medallion Program (or other signature</w:t>
            </w:r>
          </w:p>
        </w:tc>
        <w:tc>
          <w:tcPr>
            <w:tcW w:w="491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 program reasonably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INTERESTS IN THE GLOBAL NOTE</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Physical Note, or exchanges of a part of another Global Note or Physical Note for an interest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520"/>
        <w:gridCol w:w="965"/>
        <w:gridCol w:w="995"/>
        <w:gridCol w:w="1175"/>
        <w:gridCol w:w="1115"/>
      </w:tblGrid>
      <w:tr>
        <w:trPr/>
        <w:tc>
          <w:tcPr>
            <w:tcW w:w="1520" w:type="dxa"/>
            <w:tcBorders/>
            <w:vAlign w:val="center"/>
          </w:tcPr>
          <w:p>
            <w:pPr>
              <w:pStyle w:val="TableContents"/>
              <w:pBdr>
                <w:bottom w:val="single" w:sz="4" w:space="1" w:color="000000"/>
              </w:pBdr>
              <w:bidi w:val="0"/>
              <w:spacing w:before="0" w:after="0"/>
              <w:ind w:left="18" w:right="0" w:hanging="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Exchange</w:t>
            </w:r>
          </w:p>
        </w:tc>
        <w:tc>
          <w:tcPr>
            <w:tcW w:w="9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decrease in</w:t>
              <w:br/>
              <w:t>Principal</w:t>
              <w:br/>
              <w:t>Amount of</w:t>
              <w:br/>
              <w:t xml:space="preserve">the Global </w:t>
              <w:br/>
              <w:t>Note</w:t>
            </w:r>
          </w:p>
        </w:tc>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 xml:space="preserve">increase in </w:t>
              <w:br/>
              <w:t xml:space="preserve">Principal </w:t>
              <w:br/>
              <w:t xml:space="preserve">Amount of </w:t>
              <w:br/>
              <w:t xml:space="preserve">this Global </w:t>
              <w:br/>
              <w:t>Note</w:t>
            </w:r>
          </w:p>
        </w:tc>
        <w:tc>
          <w:tcPr>
            <w:tcW w:w="11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w:t>
              <w:br/>
              <w:t>Amount of</w:t>
              <w:br/>
              <w:t xml:space="preserve">this Global </w:t>
              <w:br/>
              <w:t xml:space="preserve">Note </w:t>
              <w:br/>
              <w:t>following</w:t>
              <w:br/>
              <w:t>such decrease</w:t>
              <w:br/>
              <w:t>(or increase)</w:t>
            </w:r>
          </w:p>
        </w:tc>
        <w:tc>
          <w:tcPr>
            <w:tcW w:w="11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w:t>
              <w:br/>
              <w:t>authorized</w:t>
              <w:br/>
              <w:t xml:space="preserve">officer of </w:t>
              <w:br/>
              <w:t>Trustee of</w:t>
              <w:br/>
              <w:t xml:space="preserve">Note </w:t>
              <w:br/>
              <w:t>custodian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and Physical Note (and all Notes issued in exchange therefor or substitution thereof) shall bear the following legend set forth below (the “</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on the face thereof until the Private Placement Legend is removed or not required in accordance with Section 2.15(e)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SECURITIES ACT OF 1933, AS AMENDED (THE “SECURITIES ACT”). THE HOLDER HEREOF, BY PURCHASING THIS SECURITY, AGREES FOR THE BENEFIT OF THE ISSUERS THAT THIS SECURITY MAY NOT BE RESOLD, PLEDGED OR OTHERWISE TRANSFERRED (X) PRIOR TO THE LATER OF THE ONE YEAR ANNIVERSARY OF THE ISSUANCE HEREOF (OR ANY PREDECESSOR SECURITY HERETO) OR OF ANY ADDITIONAL NOTES OR (Y) BY ANY HOLDER THAT WAS AN AFFILIATE OF THE COMPANY AT ANY TIME DURING THE THREE MONTHS PRECEDING THE DATE OF SUCH TRANSFER, IN EITHER CASE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TO WHOM NOTICE IS GIVEN THAT THE RESALE, PLEDGE OR OTHER TRANSFER IS BEING MADE IN RELIANCE ON RULE 144A (AS INDICATED BY THE BOX CHECKED BY THE TRANSFEROR ON THE CERTIFICATE OF TRANSFER ON THE REVERSE OF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AN OFFSHORE TRANSACTION IN ACCORDANCE WITH REGULATION S UNDER THE SECURITIES ACT (AS INDICATED BY THE BOX CHECKED BY THE TRANSFEROR ON THE CERTIFICATE OF TRANSFER ON THE REVERSE OF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AN INSTITUTION THAT IS AN “ACCREDITED INVESTOR” AS DEFINED IN RULE 501(a)(1), (2), (3) OR (7) OF REGULATION D UNDER THE SECURITIES ACT (AS INDICATED BY THE BOX CHECKED BY THE TRANSFEROR ON THE CERTIFICATE OF TRANSFER ON THE REVERSE OF THIS SECURITY) THAT IS ACQUIRING THIS SECURITY FOR INVESTMENT PURPOSES AND NOT FOR DISTRIBUTION, AND A CERTIFICATE WHICH MAY BE OBTAINED FROM THE COMPANY OR THE TRUSTEE IS DELIVERED BY THE TRANSFEREE TO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PURSUANT TO ANY EXEMPTION FROM REGISTRATION UNDER THE SECURITIES ACT PROVIDED BY RULE 144 (IF APPLICABLE)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PURSUANT TO AN EFFECTIVE REGISTRATION STATEMENT UNDER THE SECURITIES ACT, IN EACH CASE, IN ACCORDANCE WITH ANY APPLICABLE SECURITIES LAWS OF ANY STATE OF THE UNITED STATES. AN INSTITUTIONAL ACCREDITED INVESTOR HOLDING THIS SECURITY AGREES THAT IT WILL FURNISH TO THE COMPANY AND THE TRUSTEE SUCH CERTIFICATES, OPINIONS OF COUNSEL AND OTHER INFORMATION AS REQUIRED UNDER THE INDENTURE TO CONFIRM THAT THE TRANSFER BY IT OF THIS SECURITY COMPLIES WITH THE FOREGOING RESTRICTIONS. THE HOLDER HEREOF, BY PURCHASING THIS SECURITY, REPRESENTS AND AGREES FOR THE BENEFIT OF THE COMPANY THAT IT IS (1) A QUALIFIED INSTITUTIONAL BUYER WITHIN THE MEANING OF RULE 144A OR (2) PURCHASING FROM A PERSON NOT PARTICIPATING IN THE INITIAL DISTRIBUTION OF THIS SECURITY (OR ANY PREDECESSOR SECURITY), THAT IT IS AN INSTITUTION THAT IS AN “ACCREDITED INVESTOR” AS DEFINED IN RULE 501 (a)(1), (2), (3) OR (7) OF REGULATION D UNDER THE SECURITIES ACT AND THAT IT IS HOLDING THIS SECURITY FOR INVESTMENT PURPOSES AND NOT FOR DISTRIBUTION OR (3) A NON-U.S. PERSON OUTSIDE THE UNITED STATES WITHIN THE MEANING OF (OR AN ACCOUNT SATISFYING THE REQUIREMENTS OF PARAGRAPH (k)(2)(i) OF RULE 902 UNDER)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authenticated and delivered hereunder shall also bear the following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A GLOBAL NOTE WITHIN THE MEANING OF THE INDENTURE HEREINAFTER REFERRED TO AND IS REGISTERED IN THE NAME OF A DEPOSITORY OR A NOMINEE OF A DEPOSITORY OR A SUCCESSOR DEPOSITORY. THIS NOTE IS NOT EXCHANGEABLE FOR NOTES REGISTERED IN THE NAME OF A PERSON OTHER THAN THE DEPOSITORY OR ITS NOMINEE EXCEPT IN THE LIMITED CIRCUMSTANCES DESCRIBED IN THE INDENTURE, AND NO TRANSFER OF THIS NOTE (OTHER THAN A TRANSFER OF THIS NOTE AS A WHOLE BY THE DEPOSITORY TO A NOMINEE OF THE DEPOSITORY OR BY A NOMINEE OF THE DEPOSITORY TO THE DEPOSITORY OR ANOTHER NOMINEE OF THE DEPOSITORY) MAY BE REGISTERED EXCEPT IN THE LIMITED CIRCUMSTANCES DESCRIBED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ISSUERS OR THEIR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CEDE &amp; CO. OR TO A SUCCESSOR THEREOF OR SUCH SUCCESSOR’S NOMINEE AND TRANSFERS OF PORTIONS OF THIS GLOBAL NOTE SHALL BE LIMITED TO TRANSFERS MADE IN ACCORDANCE WITH THE RESTRICTIONS SET FORTH IN SECTION 2.15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REGULATION S GLOBAL SECURITY ONLY] UNTIL 40 DAYS AFTER THE LATER OF COMMENCEMENT OR COMPLETION OF THE OFFERING, AN OFFER OR SALE OF SECURITIES WITHIN THE UNITED STATES BY A DEALER (AS DEFINED IN THE SECURITIES ACT) MAY VIOLATE THE REGISTRATION REQUIREMENTS OF THE SECURITIES ACT IF SUCH OFFER OR SALE IS MADE OTHERWISE THAN IN ACCORDANCE WITH RULE 144A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To Be Delivered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Transfers</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Pursuant to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Fillmore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MN 55107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   ]</w:t>
      </w:r>
    </w:p>
    <w:p>
      <w:pPr>
        <w:pStyle w:val="TextBody"/>
        <w:bidi w:val="0"/>
        <w:spacing w:before="0" w:after="0"/>
        <w:ind w:left="0" w:right="0" w:hanging="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30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Re:</w:t>
            </w:r>
          </w:p>
        </w:tc>
        <w:tc>
          <w:tcPr>
            <w:tcW w:w="2915" w:type="dxa"/>
            <w:tcBorders/>
            <w:vAlign w:val="center"/>
          </w:tcPr>
          <w:p>
            <w:pPr>
              <w:pStyle w:val="TableContents"/>
              <w:bidi w:val="0"/>
              <w:spacing w:before="0" w:after="283"/>
              <w:jc w:val="both"/>
              <w:rPr/>
            </w:pPr>
            <w:r>
              <w:rPr/>
              <w:t>RHP Hotel Properties, LP and</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Finance Corporation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 Senior Notes due 2035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proposed sale of $[ ] aggregate principal amount of the Notes, we confirm that such sale has been effected pursuant to and in accordance with Regulation S under the U.S.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accordingly, we represent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offer of the Notes was not made to a person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either (a) at the time the buy offer was originated, the transferee was outside the United States or we and any person acting on our behalf reasonably believed that the transferee was outside the United States, or the transaction was executed in, on or through the facilities of a designated offshore securities market and neither we nor any person acting on our behalf knows that the transaction has been prearranged with a buyer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directed selling efforts have been made in the United States in contravention of the requirements of Rule 903(b) or Rule 904(b) of Regulation 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transaction is not part of a plan or scheme to evade the registration requirements of the Securities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we have advised the transferee of the transfer restrictions applicable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as Trustee, the Issuers, counsel for the Issuers and others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caps w:val="false"/>
          <w:smallCaps w:val="false"/>
        </w:rPr>
      </w:pPr>
      <w:r>
        <w:rPr>
          <w:caps w:val="false"/>
          <w:smallCaps w:val="false"/>
        </w:rPr>
        <w:t> </w:t>
      </w:r>
    </w:p>
    <w:tbl>
      <w:tblPr>
        <w:tblW w:w="1774" w:type="dxa"/>
        <w:jc w:val="left"/>
        <w:tblInd w:w="0" w:type="dxa"/>
        <w:tblLayout w:type="fixed"/>
        <w:tblCellMar>
          <w:top w:w="0" w:type="dxa"/>
          <w:left w:w="0" w:type="dxa"/>
          <w:bottom w:w="0" w:type="dxa"/>
          <w:right w:w="0" w:type="dxa"/>
        </w:tblCellMar>
      </w:tblPr>
      <w:tblGrid>
        <w:gridCol w:w="75"/>
        <w:gridCol w:w="720"/>
        <w:gridCol w:w="979"/>
      </w:tblGrid>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Transferor]</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each of the undersigned (including any successor Person under the Indenture) hereby unconditionally guarantees, jointly and severally, to the extent set forth in the Indenture (as defined below) to the Holder of this Note the payment of principal, premium, if any, and interest on this Note in the amounts and at the times when due and interest on the overdue principal, premium, if any, and interest, if any, of this Note when due, if lawful, and, to the extent permitted by law, the payment or performance of all other obligations of the Issuers under the Indenture or the Notes, to the Holder of this Note and the Trustee, all in accordance with and subject to the terms and limitations of this Note, the Indenture, including Article X thereof, and this Guaranty. This Guaranty will become effective in accordance with Article X of the Indenture and its terms shall be evidenced therein. The validity and enforceability of any Guaranty shall not be affected by the fact that it is not affixed to any particular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shall have the meanings ascribed to them in the Indenture, dated as of August 25, 2026, among RHP Hotel Properties, LP, a Delaware limited partnership (“</w:t>
      </w:r>
      <w:r>
        <w:rPr>
          <w:rFonts w:ascii="Times New Roman;Times;Serif" w:hAnsi="Times New Roman;Times;Serif"/>
          <w:b w:val="false"/>
          <w:i w:val="false"/>
          <w:caps w:val="false"/>
          <w:smallCaps w:val="false"/>
          <w:sz w:val="20"/>
          <w:u w:val="single"/>
        </w:rPr>
        <w:t>Opco</w:t>
      </w:r>
      <w:r>
        <w:rPr>
          <w:rFonts w:ascii="Times New Roman;Times;Serif" w:hAnsi="Times New Roman;Times;Serif"/>
          <w:b w:val="false"/>
          <w:i w:val="false"/>
          <w:caps w:val="false"/>
          <w:smallCaps w:val="false"/>
          <w:sz w:val="20"/>
        </w:rPr>
        <w:t>”), RHP Finance Corporation, a Delaware corporation (“</w:t>
      </w:r>
      <w:r>
        <w:rPr>
          <w:rFonts w:ascii="Times New Roman;Times;Serif" w:hAnsi="Times New Roman;Times;Serif"/>
          <w:b w:val="false"/>
          <w:i w:val="false"/>
          <w:caps w:val="false"/>
          <w:smallCaps w:val="false"/>
          <w:sz w:val="20"/>
          <w:u w:val="single"/>
        </w:rPr>
        <w:t>Finco</w:t>
      </w:r>
      <w:r>
        <w:rPr>
          <w:rFonts w:ascii="Times New Roman;Times;Serif" w:hAnsi="Times New Roman;Times;Serif"/>
          <w:b w:val="false"/>
          <w:i w:val="false"/>
          <w:caps w:val="false"/>
          <w:smallCaps w:val="false"/>
          <w:sz w:val="20"/>
        </w:rPr>
        <w:t>” and, together with Opco,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Ryman Hospitality Properties, Inc., a Delaware corporation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as Guarantor, each of the other Guarantors named herein, as Guarantors, and U.S. Bank Trust Company, National Association, a national banking association organized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amended or supplemented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undersigned to the Holders of Notes and to the Trustee pursuant to this Guaranty and the Indenture are expressly set forth in Article X of the Indenture and reference is hereby made to the Indenture for the precise terms of the Guaranty and all of the other provisions of the Indenture to which this Guaranty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incorporator, stockholder or controlling person or any successor Person thereof of any Guarantor, as such, shall have any liability for any obligations of such Guarantors under such Guarantors’ Guaranty or the Indenture or for any claim based on, in respect of, or by reason of, such obligation or its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Guaranty is subject to release upon the terms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Guarantor has caused its Guaranty to be duly executed.</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Supplemental Indenture in Respect of Subsidiary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dated as of [_________]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among [name of Subsidiary Guarantor(s)] (the “</w:t>
      </w:r>
      <w:r>
        <w:rPr>
          <w:rFonts w:ascii="Times New Roman;Times;Serif" w:hAnsi="Times New Roman;Times;Serif"/>
          <w:b w:val="false"/>
          <w:i w:val="false"/>
          <w:caps w:val="false"/>
          <w:smallCaps w:val="false"/>
          <w:sz w:val="20"/>
          <w:u w:val="single"/>
        </w:rPr>
        <w:t>Subsidiary Guarantor(s)</w:t>
      </w:r>
      <w:r>
        <w:rPr>
          <w:rFonts w:ascii="Times New Roman;Times;Serif" w:hAnsi="Times New Roman;Times;Serif"/>
          <w:b w:val="false"/>
          <w:i w:val="false"/>
          <w:caps w:val="false"/>
          <w:smallCaps w:val="false"/>
          <w:sz w:val="20"/>
        </w:rPr>
        <w:t>”), RHP Hotel Properties, LP, a Delaware limited partnership (“</w:t>
      </w:r>
      <w:r>
        <w:rPr>
          <w:rFonts w:ascii="Times New Roman;Times;Serif" w:hAnsi="Times New Roman;Times;Serif"/>
          <w:b w:val="false"/>
          <w:i w:val="false"/>
          <w:caps w:val="false"/>
          <w:smallCaps w:val="false"/>
          <w:sz w:val="20"/>
          <w:u w:val="single"/>
        </w:rPr>
        <w:t>Opco</w:t>
      </w:r>
      <w:r>
        <w:rPr>
          <w:rFonts w:ascii="Times New Roman;Times;Serif" w:hAnsi="Times New Roman;Times;Serif"/>
          <w:b w:val="false"/>
          <w:i w:val="false"/>
          <w:caps w:val="false"/>
          <w:smallCaps w:val="false"/>
          <w:sz w:val="20"/>
        </w:rPr>
        <w:t>”) RHP Finance Corporation, a Delaware corporation (“</w:t>
      </w:r>
      <w:r>
        <w:rPr>
          <w:rFonts w:ascii="Times New Roman;Times;Serif" w:hAnsi="Times New Roman;Times;Serif"/>
          <w:b w:val="false"/>
          <w:i w:val="false"/>
          <w:caps w:val="false"/>
          <w:smallCaps w:val="false"/>
          <w:sz w:val="20"/>
          <w:u w:val="single"/>
        </w:rPr>
        <w:t>Finco</w:t>
      </w:r>
      <w:r>
        <w:rPr>
          <w:rFonts w:ascii="Times New Roman;Times;Serif" w:hAnsi="Times New Roman;Times;Serif"/>
          <w:b w:val="false"/>
          <w:i w:val="false"/>
          <w:caps w:val="false"/>
          <w:smallCaps w:val="false"/>
          <w:sz w:val="20"/>
        </w:rPr>
        <w:t>” and, together with Opco,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Ryman Hospitality Properties, Inc., a Delaware corporation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as Guarantor, each other then existing Guarantor under the Indenture referred to below (together with Parent, the “</w:t>
      </w:r>
      <w:r>
        <w:rPr>
          <w:rFonts w:ascii="Times New Roman;Times;Serif" w:hAnsi="Times New Roman;Times;Serif"/>
          <w:b w:val="false"/>
          <w:i w:val="false"/>
          <w:caps w:val="false"/>
          <w:smallCaps w:val="false"/>
          <w:sz w:val="20"/>
          <w:u w:val="single"/>
        </w:rPr>
        <w:t>Existing Guarantors</w:t>
      </w:r>
      <w:r>
        <w:rPr>
          <w:rFonts w:ascii="Times New Roman;Times;Serif" w:hAnsi="Times New Roman;Times;Serif"/>
          <w:b w:val="false"/>
          <w:i w:val="false"/>
          <w:caps w:val="false"/>
          <w:smallCaps w:val="false"/>
          <w:sz w:val="20"/>
        </w:rPr>
        <w:t>”), and U.S. Bank Trust Company, National Association, a national banking association organized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any Existing Guarantors and the Trustee have heretofore become parties to an Indenture, dated as of August 25, 2026 (as amended, supplemented, waived or otherwise modified,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providing for the issuance of 6.250% Senior Notes due 2035 of the Issuers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of the Indenture provides that the Issuers are required to cause the Subsidiary Guarantors to execute and deliver to the Trustee a supplemental indenture pursuant to which the Subsidiary Guarantor(s) shall guarantee the Obligations of the Issuers pursuant to a Subsidiary Guaranty on the terms and conditions set forth herein and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Subsidiary Guarantor desires to enter into such supplemental indenture for good and valuable consideration, including substantial economic benefit in that the financial performance and condition of such Subsidiary Guarantor is dependent on the financial performance and condition of the Issuers, the obligations hereunder of which such Subsidiary Guarantor has guaranteed;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of the Indenture, the parties hereto are authorized to execute and deliver this Supplemental Indenture to amend the Indenture, without the consent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Subsidiary Guarantor(s), the Issuers, the Existing Guarantors and the Trustee mutually covenant and agree for the benefit of the Holders of the Notes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u w:val="single"/>
              </w:rPr>
              <w:t>Defined Terms</w:t>
            </w:r>
            <w:r>
              <w:rPr/>
              <w:t>.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u w:val="single"/>
              </w:rPr>
              <w:t>Agreement to Guarantee</w:t>
            </w:r>
            <w:r>
              <w:rPr/>
              <w:t xml:space="preserve">. [The] [Each] Subsidiary Guarantor hereby agrees, jointly and severally with all other Guarantors and irrevocably, fully and unconditionally, to Guarantee the Obligations under the Indenture and the Notes on the terms and subject to the conditions set forth in </w:t>
            </w:r>
            <w:r>
              <w:rPr>
                <w:u w:val="single"/>
              </w:rPr>
              <w:t>Article X</w:t>
            </w:r>
            <w:r>
              <w:rPr/>
              <w:t xml:space="preserve"> of the Indenture and to be bound by (and shall be entitled to the benefits of) all other applicable provisions of the Indenture as a Subsidiary Guarantor.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283"/>
              <w:jc w:val="both"/>
              <w:rPr/>
            </w:pPr>
            <w:r>
              <w:rPr>
                <w:u w:val="single"/>
              </w:rPr>
              <w:t>Termination, Release and Discharge</w:t>
            </w:r>
            <w:r>
              <w:rPr/>
              <w:t xml:space="preserve">. [The] [Each] Subsidiary Guarantor’s Subsidiary Guaranty shall terminate and be of no further force or effect, and [the] [each] Subsidiary Guarantor shall be released and discharged from all obligations in respect of such Subsidiary Guaranty, as and when provided in </w:t>
            </w:r>
            <w:r>
              <w:rPr>
                <w:u w:val="single"/>
              </w:rPr>
              <w:t>Section 10.04</w:t>
            </w:r>
            <w:r>
              <w:rPr/>
              <w:t xml:space="preserve">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4.</w:t>
            </w:r>
          </w:p>
        </w:tc>
        <w:tc>
          <w:tcPr>
            <w:tcW w:w="10011" w:type="dxa"/>
            <w:tcBorders/>
            <w:vAlign w:val="center"/>
          </w:tcPr>
          <w:p>
            <w:pPr>
              <w:pStyle w:val="TableContents"/>
              <w:bidi w:val="0"/>
              <w:spacing w:before="0" w:after="283"/>
              <w:jc w:val="both"/>
              <w:rPr/>
            </w:pPr>
            <w:r>
              <w:rPr>
                <w:u w:val="single"/>
              </w:rPr>
              <w:t>Parties</w:t>
            </w:r>
            <w:r>
              <w:rPr/>
              <w:t xml:space="preserve">. Nothing in this Supplemental Indenture is intended or shall be construed to give any Person, other than the Holders and the Trustee, any legal or equitable right, remedy or claim under or in respect of [the] [each] Subsidiary Guarantor’s Subsidiary Guaranty or any provision contained herein or in </w:t>
            </w:r>
            <w:r>
              <w:rPr>
                <w:u w:val="single"/>
              </w:rPr>
              <w:t>Article X</w:t>
            </w:r>
            <w:r>
              <w:rPr/>
              <w:t xml:space="preserve">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both"/>
              <w:rPr/>
            </w:pPr>
            <w:r>
              <w:rPr>
                <w:u w:val="single"/>
              </w:rPr>
              <w:t>Governing Law</w:t>
            </w:r>
            <w:r>
              <w:rPr/>
              <w:t>. THIS SUPPLEMENTAL INDENTURE SHALL BE GOVERNED BY AND CONSTRUED IN ACCORDANCE WITH THE LAWS OF THE STATE OF NEW YORK. EACH OF THE PARTIES HERETO HEREBY IRREVOCABLY WAIVES, TO THE FULLEST EXTENT PERMITTED BY APPLICABLE LAW, ANY AND ALL RIGHT TO TRIAL BY JURY IN ANY LEGAL PROCEEDING ARISING OUT OF OR RELATING TO THIS SUPPLEMENTAL INDENTURE, THE NOTES, THE SUPPLEMENTAL GUARANTIES OR THE TRANSACTIONS CONTEMPLATION HEREBY.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9" w:type="dxa"/>
            <w:tcBorders/>
            <w:vAlign w:val="center"/>
          </w:tcPr>
          <w:p>
            <w:pPr>
              <w:pStyle w:val="TableContents"/>
              <w:bidi w:val="0"/>
              <w:spacing w:before="0" w:after="283"/>
              <w:jc w:val="both"/>
              <w:rPr/>
            </w:pPr>
            <w:r>
              <w:rPr>
                <w:u w:val="single"/>
              </w:rPr>
              <w:t>Ratification of Indenture; Supplemental Indentures Part of Indenture</w:t>
            </w:r>
            <w:r>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7.</w:t>
            </w:r>
          </w:p>
        </w:tc>
        <w:tc>
          <w:tcPr>
            <w:tcW w:w="9994" w:type="dxa"/>
            <w:tcBorders/>
            <w:vAlign w:val="center"/>
          </w:tcPr>
          <w:p>
            <w:pPr>
              <w:pStyle w:val="TableContents"/>
              <w:bidi w:val="0"/>
              <w:spacing w:before="0" w:after="283"/>
              <w:jc w:val="both"/>
              <w:rPr/>
            </w:pPr>
            <w:r>
              <w:rPr>
                <w:u w:val="single"/>
              </w:rPr>
              <w:t>Counterparts</w:t>
            </w:r>
            <w:r>
              <w:rPr/>
              <w:t>. The parties hereto may sign one or more copies of this Supplemental Indenture in counterparts, all of which together shall constitute one and the same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8.</w:t>
            </w:r>
          </w:p>
        </w:tc>
        <w:tc>
          <w:tcPr>
            <w:tcW w:w="9995" w:type="dxa"/>
            <w:tcBorders/>
            <w:vAlign w:val="center"/>
          </w:tcPr>
          <w:p>
            <w:pPr>
              <w:pStyle w:val="TableContents"/>
              <w:bidi w:val="0"/>
              <w:spacing w:before="0" w:after="283"/>
              <w:jc w:val="both"/>
              <w:rPr/>
            </w:pPr>
            <w:r>
              <w:rPr>
                <w:u w:val="single"/>
              </w:rPr>
              <w:t>Headings</w:t>
            </w:r>
            <w:r>
              <w:rPr/>
              <w:t>. The Section headings herein are for convenience of reference only and shall not be deemed to alter or affect the meaning or interpretation of any provisions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320"/>
        <w:gridCol w:w="4925"/>
      </w:tblGrid>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SUBSIDIARY GUARANTOR(S)]</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Subsidiary Guarantor</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92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HOTEL PROPERTIES, LP</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25" w:type="dxa"/>
            <w:tcBorders/>
            <w:vAlign w:val="center"/>
          </w:tcPr>
          <w:p>
            <w:pPr>
              <w:pStyle w:val="TableContents"/>
              <w:bidi w:val="0"/>
              <w:spacing w:before="0" w:after="283"/>
              <w:jc w:val="left"/>
              <w:rPr/>
            </w:pPr>
            <w:r>
              <w:rPr/>
              <w:t>RHP Partner,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as sole general partner of RHP Hotel Properties, LP</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92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FINANCE CORPORATION</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92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both"/>
              <w:rPr/>
            </w:pPr>
            <w:r>
              <w:rPr/>
              <w:t>RYMAN HOSPITALITY PROPERTIES,INC.</w:t>
            </w:r>
          </w:p>
        </w:tc>
      </w:tr>
      <w:tr>
        <w:trPr/>
        <w:tc>
          <w:tcPr>
            <w:tcW w:w="7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92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 </w:t>
            </w:r>
          </w:p>
        </w:tc>
      </w:tr>
    </w:tbl>
    <w:p>
      <w:pPr>
        <w:pStyle w:val="TextBody"/>
        <w:bidi w:val="0"/>
        <w:spacing w:before="0" w:after="0"/>
        <w:jc w:val="center"/>
        <w:rPr>
          <w:sz w:val="20"/>
          <w:bdr w:val="single" w:sz="8" w:space="1" w:color="000000"/>
        </w:rPr>
      </w:pPr>
      <w:r>
        <w:rPr>
          <w:sz w:val="20"/>
          <w:bdr w:val="single" w:sz="8" w:space="1" w:color="000000"/>
        </w:rPr>
        <w:t>E-3</w:t>
      </w:r>
    </w:p>
    <w:p>
      <w:pPr>
        <w:pStyle w:val="TextBody"/>
        <w:bidi w:val="0"/>
        <w:spacing w:before="0" w:after="283"/>
        <w:jc w:val="left"/>
        <w:rPr/>
      </w:pPr>
      <w:r>
        <w:rPr/>
        <w:t> </w:t>
      </w:r>
    </w:p>
    <w:tbl>
      <w:tblPr>
        <w:tblW w:w="5254" w:type="dxa"/>
        <w:jc w:val="left"/>
        <w:tblInd w:w="0" w:type="dxa"/>
        <w:tblLayout w:type="fixed"/>
        <w:tblCellMar>
          <w:top w:w="0" w:type="dxa"/>
          <w:left w:w="0" w:type="dxa"/>
          <w:bottom w:w="0" w:type="dxa"/>
          <w:right w:w="0" w:type="dxa"/>
        </w:tblCellMar>
      </w:tblPr>
      <w:tblGrid>
        <w:gridCol w:w="75"/>
        <w:gridCol w:w="1553"/>
        <w:gridCol w:w="3626"/>
      </w:tblGrid>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AURORA CONVENTION CENTER HOTEL, LLC</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AURORA CONVENTION CENTER HOTEL INVESTORS, LLC</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OPRYLAND HOSPITALITY, LLC</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RHPAHP, LLC</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HOTELS, LLC</w:t>
            </w:r>
          </w:p>
        </w:tc>
      </w:tr>
      <w:tr>
        <w:trPr/>
        <w:tc>
          <w:tcPr>
            <w:tcW w:w="75"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1553" w:type="dxa"/>
            <w:tcBorders/>
            <w:vAlign w:val="center"/>
          </w:tcPr>
          <w:p>
            <w:pPr>
              <w:pStyle w:val="TableContents"/>
              <w:bidi w:val="0"/>
              <w:spacing w:before="0" w:after="283"/>
              <w:jc w:val="both"/>
              <w:rPr/>
            </w:pPr>
            <w:r>
              <w:rPr/>
              <w:t> </w:t>
            </w:r>
          </w:p>
        </w:tc>
        <w:tc>
          <w:tcPr>
            <w:tcW w:w="3626" w:type="dxa"/>
            <w:tcBorders/>
            <w:vAlign w:val="center"/>
          </w:tcPr>
          <w:p>
            <w:pPr>
              <w:pStyle w:val="TableContents"/>
              <w:bidi w:val="0"/>
              <w:spacing w:before="0" w:after="283"/>
              <w:jc w:val="both"/>
              <w:rPr/>
            </w:pPr>
            <w:r>
              <w:rPr/>
              <w:t> </w:t>
            </w:r>
          </w:p>
        </w:tc>
      </w:tr>
    </w:tbl>
    <w:p>
      <w:pPr>
        <w:pStyle w:val="TextBody"/>
        <w:bidi w:val="0"/>
        <w:spacing w:before="0" w:after="0"/>
        <w:jc w:val="center"/>
        <w:rPr>
          <w:sz w:val="20"/>
          <w:bdr w:val="single" w:sz="8" w:space="1" w:color="000000"/>
        </w:rPr>
      </w:pPr>
      <w:r>
        <w:rPr>
          <w:sz w:val="20"/>
          <w:bdr w:val="single" w:sz="8" w:space="1" w:color="000000"/>
        </w:rPr>
        <w:t>E-4</w:t>
      </w:r>
    </w:p>
    <w:p>
      <w:pPr>
        <w:pStyle w:val="TextBody"/>
        <w:bidi w:val="0"/>
        <w:spacing w:before="0" w:after="283"/>
        <w:jc w:val="left"/>
        <w:rPr/>
      </w:pPr>
      <w:r>
        <w:rPr/>
        <w:t> </w:t>
      </w:r>
    </w:p>
    <w:tbl>
      <w:tblPr>
        <w:tblW w:w="6910" w:type="dxa"/>
        <w:jc w:val="left"/>
        <w:tblInd w:w="0" w:type="dxa"/>
        <w:tblLayout w:type="fixed"/>
        <w:tblCellMar>
          <w:top w:w="0" w:type="dxa"/>
          <w:left w:w="0" w:type="dxa"/>
          <w:bottom w:w="0" w:type="dxa"/>
          <w:right w:w="0" w:type="dxa"/>
        </w:tblCellMar>
      </w:tblPr>
      <w:tblGrid>
        <w:gridCol w:w="75"/>
        <w:gridCol w:w="320"/>
        <w:gridCol w:w="6515"/>
      </w:tblGrid>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PARTNER, LLC</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5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PROPERTY AR, LLC</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5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PROPERTY GP, LP</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515" w:type="dxa"/>
            <w:tcBorders/>
            <w:vAlign w:val="center"/>
          </w:tcPr>
          <w:p>
            <w:pPr>
              <w:pStyle w:val="TableContents"/>
              <w:bidi w:val="0"/>
              <w:spacing w:before="0" w:after="283"/>
              <w:jc w:val="both"/>
              <w:rPr/>
            </w:pPr>
            <w:r>
              <w:rPr/>
              <w:t xml:space="preserve">Opryland Hospitality, LLC, </w:t>
            </w:r>
            <w:r>
              <w:rPr>
                <w:rFonts w:ascii="Times New Roman;Times;Serif" w:hAnsi="Times New Roman;Times;Serif"/>
                <w:sz w:val="20"/>
              </w:rPr>
              <w:t>as sole general partner of RHP Property GP, LP</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5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PROPERTY GT, LLC</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5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PROPERTY GT, LP</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515" w:type="dxa"/>
            <w:tcBorders/>
            <w:vAlign w:val="center"/>
          </w:tcPr>
          <w:p>
            <w:pPr>
              <w:pStyle w:val="TableContents"/>
              <w:bidi w:val="0"/>
              <w:spacing w:before="0" w:after="283"/>
              <w:jc w:val="both"/>
              <w:rPr/>
            </w:pPr>
            <w:r>
              <w:rPr/>
              <w:t xml:space="preserve">Opryland Hospitality, LLC, </w:t>
            </w:r>
            <w:r>
              <w:rPr>
                <w:rFonts w:ascii="Times New Roman;Times;Serif" w:hAnsi="Times New Roman;Times;Serif"/>
                <w:sz w:val="20"/>
              </w:rPr>
              <w:t>as sole general partner of RHP Property GT, LP</w:t>
            </w:r>
          </w:p>
        </w:tc>
      </w:tr>
      <w:tr>
        <w:trPr/>
        <w:tc>
          <w:tcPr>
            <w:tcW w:w="75" w:type="dxa"/>
            <w:tcBorders/>
            <w:vAlign w:val="center"/>
          </w:tcPr>
          <w:p>
            <w:pPr>
              <w:pStyle w:val="TableContents"/>
              <w:bidi w:val="0"/>
              <w:spacing w:before="0" w:after="283"/>
              <w:jc w:val="left"/>
              <w:rPr/>
            </w:pPr>
            <w:r>
              <w:rPr/>
              <w:t> </w:t>
            </w:r>
          </w:p>
        </w:tc>
        <w:tc>
          <w:tcPr>
            <w:tcW w:w="68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5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bl>
    <w:p>
      <w:pPr>
        <w:pStyle w:val="TextBody"/>
        <w:bidi w:val="0"/>
        <w:spacing w:before="0" w:after="0"/>
        <w:jc w:val="center"/>
        <w:rPr>
          <w:sz w:val="20"/>
          <w:bdr w:val="single" w:sz="8" w:space="1" w:color="000000"/>
        </w:rPr>
      </w:pPr>
      <w:r>
        <w:rPr>
          <w:sz w:val="20"/>
          <w:bdr w:val="single" w:sz="8" w:space="1" w:color="000000"/>
        </w:rPr>
        <w:t>E-5</w:t>
      </w:r>
    </w:p>
    <w:p>
      <w:pPr>
        <w:pStyle w:val="TextBody"/>
        <w:bidi w:val="0"/>
        <w:spacing w:before="0" w:after="283"/>
        <w:jc w:val="left"/>
        <w:rPr/>
      </w:pPr>
      <w:r>
        <w:rPr/>
        <w:t> </w:t>
      </w:r>
    </w:p>
    <w:tbl>
      <w:tblPr>
        <w:tblW w:w="5059" w:type="dxa"/>
        <w:jc w:val="left"/>
        <w:tblInd w:w="0" w:type="dxa"/>
        <w:tblLayout w:type="fixed"/>
        <w:tblCellMar>
          <w:top w:w="0" w:type="dxa"/>
          <w:left w:w="0" w:type="dxa"/>
          <w:bottom w:w="0" w:type="dxa"/>
          <w:right w:w="0" w:type="dxa"/>
        </w:tblCellMar>
      </w:tblPr>
      <w:tblGrid>
        <w:gridCol w:w="75"/>
        <w:gridCol w:w="1369"/>
        <w:gridCol w:w="3615"/>
      </w:tblGrid>
      <w:tr>
        <w:trPr/>
        <w:tc>
          <w:tcPr>
            <w:tcW w:w="7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PROPERTY NH, LLC</w:t>
            </w:r>
          </w:p>
        </w:tc>
      </w:tr>
      <w:tr>
        <w:trPr/>
        <w:tc>
          <w:tcPr>
            <w:tcW w:w="7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pPr>
            <w:r>
              <w:rPr/>
              <w:t> </w:t>
            </w:r>
          </w:p>
        </w:tc>
        <w:tc>
          <w:tcPr>
            <w:tcW w:w="361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pPr>
            <w:r>
              <w:rPr/>
              <w:t> </w:t>
            </w:r>
          </w:p>
        </w:tc>
        <w:tc>
          <w:tcPr>
            <w:tcW w:w="361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pPr>
            <w:r>
              <w:rPr/>
              <w:t> </w:t>
            </w:r>
          </w:p>
        </w:tc>
        <w:tc>
          <w:tcPr>
            <w:tcW w:w="36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RHP PROPERTY SA, LLC</w:t>
            </w:r>
          </w:p>
        </w:tc>
      </w:tr>
      <w:tr>
        <w:trPr/>
        <w:tc>
          <w:tcPr>
            <w:tcW w:w="7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pPr>
            <w:r>
              <w:rPr/>
              <w:t> </w:t>
            </w:r>
          </w:p>
        </w:tc>
        <w:tc>
          <w:tcPr>
            <w:tcW w:w="361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pPr>
            <w:r>
              <w:rPr/>
              <w:t> </w:t>
            </w:r>
          </w:p>
        </w:tc>
        <w:tc>
          <w:tcPr>
            <w:tcW w:w="3615"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pPr>
            <w:r>
              <w:rPr/>
              <w:t> </w:t>
            </w:r>
          </w:p>
        </w:tc>
        <w:tc>
          <w:tcPr>
            <w:tcW w:w="36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pPr>
            <w:r>
              <w:rPr/>
              <w:t> </w:t>
            </w:r>
          </w:p>
        </w:tc>
        <w:tc>
          <w:tcPr>
            <w:tcW w:w="3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both"/>
              <w:rPr/>
            </w:pPr>
            <w:r>
              <w:rPr/>
              <w:t> </w:t>
            </w:r>
          </w:p>
        </w:tc>
        <w:tc>
          <w:tcPr>
            <w:tcW w:w="36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c>
          <w:tcPr>
            <w:tcW w:w="361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283"/>
              <w:jc w:val="left"/>
              <w:rPr/>
            </w:pPr>
            <w:r>
              <w:rPr/>
              <w:t> </w:t>
            </w:r>
          </w:p>
        </w:tc>
        <w:tc>
          <w:tcPr>
            <w:tcW w:w="3615"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58390</Words>
  <Characters>303382</Characters>
  <CharactersWithSpaces>367520</CharactersWithSpaces>
  <Paragraphs>3697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