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FIORAVANTI MARK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GAYLORD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NASHVILLE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37214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Ryman Hospitality Properties, Inc.</w:t>
              </w:r>
            </w:hyperlink>
            <w:r>
              <w:rPr/>
              <w:t xml:space="preserve"> [ </w:t>
            </w:r>
            <w:r>
              <w:rPr>
                <w:rFonts w:ascii="Times;serif" w:hAnsi="Times;serif"/>
                <w:color w:val="0000FF"/>
                <w:sz w:val="24"/>
                <w:shd w:fill="FFFFFF" w:val="clear"/>
              </w:rPr>
              <w:t>RHP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&amp;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08"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400"/>
        <w:gridCol w:w="401"/>
        <w:gridCol w:w="906"/>
        <w:gridCol w:w="801"/>
        <w:gridCol w:w="891"/>
        <w:gridCol w:w="801"/>
        <w:gridCol w:w="801"/>
        <w:gridCol w:w="936"/>
        <w:gridCol w:w="831"/>
        <w:gridCol w:w="846"/>
      </w:tblGrid>
      <w:tr>
        <w:trPr>
          <w:tblHeader w:val="true"/>
        </w:trPr>
        <w:tc>
          <w:tcPr>
            <w:tcW w:w="1200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4,767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4,767</w:t>
            </w:r>
            <w:r>
              <w:rPr>
                <w:rFonts w:ascii="Times;serif" w:hAnsi="Times;serif"/>
                <w:color w:val="008000"/>
                <w:position w:val="7"/>
                <w:sz w:val="16"/>
                <w:sz w:val="20"/>
                <w:shd w:fill="FFFFFF" w:val="clear"/>
              </w:rPr>
              <w:t>(2)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7,488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7,488</w:t>
            </w:r>
            <w:r>
              <w:rPr>
                <w:rFonts w:ascii="Times;serif" w:hAnsi="Times;serif"/>
                <w:color w:val="008000"/>
                <w:position w:val="7"/>
                <w:sz w:val="16"/>
                <w:sz w:val="20"/>
                <w:shd w:fill="FFFFFF" w:val="clear"/>
              </w:rPr>
              <w:t>(2)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13,069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13,069</w:t>
            </w:r>
            <w:r>
              <w:rPr>
                <w:rFonts w:ascii="Times;serif" w:hAnsi="Times;serif"/>
                <w:color w:val="008000"/>
                <w:position w:val="7"/>
                <w:sz w:val="16"/>
                <w:sz w:val="20"/>
                <w:shd w:fill="FFFFFF" w:val="clear"/>
              </w:rPr>
              <w:t>(2)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21,487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21,487</w:t>
            </w:r>
            <w:r>
              <w:rPr>
                <w:rFonts w:ascii="Times;serif" w:hAnsi="Times;serif"/>
                <w:color w:val="008000"/>
                <w:position w:val="7"/>
                <w:sz w:val="16"/>
                <w:sz w:val="20"/>
                <w:shd w:fill="FFFFFF" w:val="clear"/>
              </w:rPr>
              <w:t>(2)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 vests 100% on March 15,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 accordance with the terms of the reporting person's outstanding restricted stock unit awards, as a result of the $1.20 dividend per share of outstanding common stock paid by the issuer on October 15, 2026, the reporting person received additional restricted stock units in an amount based on the amount of the dividend per share and the closing price of the issuer's common stock traded on the NYSE on September 30,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Restricted stock unit vests on a one-to-one share basis 50% on March 15, 2027 and 50% on March 15, 2028.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Restricted stock unit vests on a one-to-one share basis ratably in 1/4 increments for four years beginning on March 15,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Restricted stock unit vests on a one-to-one share basis ratably in 1/4 increments for four years beginning on March 15, 2027.</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Scott J. Lynn, Attorney-in-Fact for Mark Fioravanti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83667" TargetMode="External"/><Relationship Id="rId5" Type="http://schemas.openxmlformats.org/officeDocument/2006/relationships/hyperlink" Target="http://www.sec.gov/cgi-bin/browse-edgar?action=getcompany&amp;CIK=00010408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748</Words>
  <Characters>3961</Characters>
  <CharactersWithSpaces>4614</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