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RYMAN HOSPITALITY PROPERTIES,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1-13079</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73-0664379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54" w:right="339" w:bottom="1440" w:gutter="0" w:footer="0" w:header="0"/>
          <w:type w:val="continuous"/>
        </w:sectPr>
      </w:pPr>
    </w:p>
    <w:p>
      <w:pPr>
        <w:spacing w:after="0" w:line="30" w:lineRule="exact"/>
        <w:rPr>
          <w:sz w:val="24"/>
          <w:szCs w:val="24"/>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One Gaylord Drive</w:t>
      </w:r>
    </w:p>
    <w:p>
      <w:pPr>
        <w:spacing w:after="0" w:line="31" w:lineRule="exact"/>
        <w:rPr>
          <w:sz w:val="24"/>
          <w:szCs w:val="24"/>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37214</w:t>
      </w:r>
    </w:p>
    <w:p>
      <w:pPr>
        <w:spacing w:after="0" w:line="31"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620" w:space="720"/>
            <w:col w:w="3900"/>
          </w:cols>
          <w:pgMar w:left="320" w:top="75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316-6000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86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28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5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540" w:type="dxa"/>
            <w:vAlign w:val="bottom"/>
          </w:tcPr>
          <w:p>
            <w:pPr>
              <w:spacing w:after="0"/>
              <w:rPr>
                <w:sz w:val="19"/>
                <w:szCs w:val="19"/>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54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00" w:firstLine="416"/>
        <w:spacing w:after="0" w:line="281" w:lineRule="auto"/>
        <w:rPr>
          <w:sz w:val="20"/>
          <w:szCs w:val="20"/>
          <w:color w:val="auto"/>
        </w:rPr>
      </w:pPr>
      <w:r>
        <w:rPr>
          <w:rFonts w:ascii="Times New Roman" w:cs="Times New Roman" w:eastAsia="Times New Roman" w:hAnsi="Times New Roman"/>
          <w:sz w:val="17"/>
          <w:szCs w:val="17"/>
          <w:color w:val="auto"/>
        </w:rPr>
        <w:t>On May 7, 2026, Ryman Hospitality Properties, Inc. (the “Company”) held its annual meeting of stockholders (the “Annual Meeting”). As of the record date for the Annual Meeting, there were 63,109,272 shares of the Company’s common stock outstanding and entitled to vote on all matters presented to the Company’s stockholders at the Annual Meeting. Holders of 59,147,731 shares of the Company’s common stock were present in person or represented by proxy at the Annual Meeting. The following proposals were voted on and approved by the Company’s stockholders at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PROPOSALS: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to the Company’s Board of Directors of the following ten director nominees: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Broker Non- Votes</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Rachna Bhasin</w:t>
            </w:r>
          </w:p>
        </w:tc>
        <w:tc>
          <w:tcPr>
            <w:tcW w:w="1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56,043,717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360,164</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142,281</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 Eric Bolton, Jr.</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55,072,077</w:t>
            </w:r>
          </w:p>
        </w:tc>
        <w:tc>
          <w:tcPr>
            <w:tcW w:w="22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1,457,570</w:t>
            </w:r>
          </w:p>
        </w:tc>
        <w:tc>
          <w:tcPr>
            <w:tcW w:w="220" w:type="dxa"/>
            <w:vAlign w:val="bottom"/>
          </w:tcPr>
          <w:p>
            <w:pPr>
              <w:spacing w:after="0"/>
              <w:rPr>
                <w:sz w:val="18"/>
                <w:szCs w:val="18"/>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16,515</w:t>
            </w:r>
          </w:p>
        </w:tc>
        <w:tc>
          <w:tcPr>
            <w:tcW w:w="22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Alvin Bowles, Jr.</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56,355,297</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67,151</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123,714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56,262,756</w:t>
            </w:r>
          </w:p>
        </w:tc>
        <w:tc>
          <w:tcPr>
            <w:tcW w:w="220" w:type="dxa"/>
            <w:vAlign w:val="bottom"/>
          </w:tcPr>
          <w:p>
            <w:pPr>
              <w:spacing w:after="0"/>
              <w:rPr>
                <w:sz w:val="18"/>
                <w:szCs w:val="18"/>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266,339</w:t>
            </w:r>
          </w:p>
        </w:tc>
        <w:tc>
          <w:tcPr>
            <w:tcW w:w="220" w:type="dxa"/>
            <w:vAlign w:val="bottom"/>
          </w:tcPr>
          <w:p>
            <w:pPr>
              <w:spacing w:after="0"/>
              <w:rPr>
                <w:sz w:val="18"/>
                <w:szCs w:val="18"/>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17,067</w:t>
            </w:r>
          </w:p>
        </w:tc>
        <w:tc>
          <w:tcPr>
            <w:tcW w:w="22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E. Haslam</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56,363,918</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166,801</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15,443</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Erin Mulligan Helgren</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56,503,281</w:t>
            </w:r>
          </w:p>
        </w:tc>
        <w:tc>
          <w:tcPr>
            <w:tcW w:w="220" w:type="dxa"/>
            <w:vAlign w:val="bottom"/>
          </w:tcPr>
          <w:p>
            <w:pPr>
              <w:spacing w:after="0"/>
              <w:rPr>
                <w:sz w:val="18"/>
                <w:szCs w:val="18"/>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26,948</w:t>
            </w:r>
          </w:p>
        </w:tc>
        <w:tc>
          <w:tcPr>
            <w:tcW w:w="220" w:type="dxa"/>
            <w:vAlign w:val="bottom"/>
          </w:tcPr>
          <w:p>
            <w:pPr>
              <w:spacing w:after="0"/>
              <w:rPr>
                <w:sz w:val="18"/>
                <w:szCs w:val="18"/>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15,933</w:t>
            </w:r>
          </w:p>
        </w:tc>
        <w:tc>
          <w:tcPr>
            <w:tcW w:w="22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Pantoya</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55,950,982</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579,846</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15,334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Robert Prather, Jr.</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55,464,584</w:t>
            </w:r>
          </w:p>
        </w:tc>
        <w:tc>
          <w:tcPr>
            <w:tcW w:w="22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1,044,267</w:t>
            </w:r>
          </w:p>
        </w:tc>
        <w:tc>
          <w:tcPr>
            <w:tcW w:w="22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37,311</w:t>
            </w:r>
          </w:p>
        </w:tc>
        <w:tc>
          <w:tcPr>
            <w:tcW w:w="22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Reed</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55,461,415</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1,068,484</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16,263</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shd w:val="clear" w:color="auto" w:fill="CCEEFF"/>
          </w:tcPr>
          <w:p>
            <w:pPr>
              <w:spacing w:after="0"/>
              <w:rPr>
                <w:sz w:val="18"/>
                <w:szCs w:val="18"/>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Michael Roth</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55,583,902</w:t>
            </w:r>
          </w:p>
        </w:tc>
        <w:tc>
          <w:tcPr>
            <w:tcW w:w="220" w:type="dxa"/>
            <w:vAlign w:val="bottom"/>
          </w:tcPr>
          <w:p>
            <w:pPr>
              <w:spacing w:after="0"/>
              <w:rPr>
                <w:sz w:val="20"/>
                <w:szCs w:val="20"/>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945,703</w:t>
            </w:r>
          </w:p>
        </w:tc>
        <w:tc>
          <w:tcPr>
            <w:tcW w:w="220" w:type="dxa"/>
            <w:vAlign w:val="bottom"/>
          </w:tcPr>
          <w:p>
            <w:pPr>
              <w:spacing w:after="0"/>
              <w:rPr>
                <w:sz w:val="20"/>
                <w:szCs w:val="20"/>
                <w:color w:val="auto"/>
              </w:rPr>
            </w:pP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16,557</w:t>
            </w:r>
          </w:p>
        </w:tc>
        <w:tc>
          <w:tcPr>
            <w:tcW w:w="2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of the Company’s named executive officers as disclosed in the Company’s 2026 proxy statement (i.e., “say-on-pay”):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54,747,227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1,776,701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22,234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2,601,569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2026 fiscal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57,726,765</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1,405,876</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15,090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RYMAN HOSPITALITY PROPERTIES,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J. Lynn</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J. Lynn</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2026-05-08T05:23:17Z</dcterms:created>
  <dcterms:modified xsi:type="dcterms:W3CDTF">2026-05-08T05:23:17Z</dcterms:modified>
</cp:coreProperties>
</file>