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February 25, 2022 (February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RYMAN HOSPITALITY PROPERTIES,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60" w:right="47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1-13079</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73-0664379</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00" w:space="720"/>
            <w:col w:w="2800" w:space="720"/>
            <w:col w:w="2360"/>
          </w:cols>
          <w:pgMar w:left="320" w:top="760" w:right="479" w:bottom="1440" w:gutter="0" w:footer="0" w:header="0"/>
          <w:type w:val="continuous"/>
        </w:sectPr>
      </w:pPr>
    </w:p>
    <w:p>
      <w:pPr>
        <w:spacing w:after="0" w:line="25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One Gaylord Drive</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jc w:val="center"/>
        <w:ind w:right="2260"/>
        <w:spacing w:after="0"/>
        <w:rPr>
          <w:sz w:val="20"/>
          <w:szCs w:val="20"/>
          <w:color w:val="auto"/>
        </w:rPr>
      </w:pPr>
      <w:r>
        <w:rPr>
          <w:rFonts w:ascii="Arial" w:cs="Arial" w:eastAsia="Arial" w:hAnsi="Arial"/>
          <w:sz w:val="18"/>
          <w:szCs w:val="18"/>
          <w:b w:val="1"/>
          <w:bCs w:val="1"/>
          <w:color w:val="auto"/>
        </w:rPr>
        <w:t>37214</w:t>
      </w:r>
    </w:p>
    <w:p>
      <w:pPr>
        <w:spacing w:after="0" w:line="27"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080"/>
          </w:cols>
          <w:pgMar w:left="320" w:top="760" w:right="479" w:bottom="1440" w:gutter="0" w:footer="0" w:header="0"/>
          <w:type w:val="continuous"/>
        </w:sectPr>
      </w:pPr>
    </w:p>
    <w:p>
      <w:pPr>
        <w:spacing w:after="0" w:line="5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(615) 316-6000</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140" w:firstLine="41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720" w:hanging="332"/>
        <w:spacing w:after="0" w:line="500"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230"/>
        </w:trPr>
        <w:tc>
          <w:tcPr>
            <w:tcW w:w="260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Title of Each Class</w:t>
            </w:r>
          </w:p>
        </w:tc>
        <w:tc>
          <w:tcPr>
            <w:tcW w:w="370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195"/>
        </w:trPr>
        <w:tc>
          <w:tcPr>
            <w:tcW w:w="2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par value</w:t>
            </w:r>
          </w:p>
        </w:tc>
        <w:tc>
          <w:tcPr>
            <w:tcW w:w="540" w:type="dxa"/>
            <w:vAlign w:val="bottom"/>
          </w:tcPr>
          <w:p>
            <w:pPr>
              <w:spacing w:after="0"/>
              <w:rPr>
                <w:sz w:val="16"/>
                <w:szCs w:val="16"/>
                <w:color w:val="auto"/>
              </w:rPr>
            </w:pPr>
          </w:p>
        </w:tc>
        <w:tc>
          <w:tcPr>
            <w:tcW w:w="3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RHP</w:t>
            </w:r>
          </w:p>
        </w:tc>
        <w:tc>
          <w:tcPr>
            <w:tcW w:w="54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2060" w:type="dxa"/>
            <w:vAlign w:val="bottom"/>
          </w:tcPr>
          <w:p>
            <w:pPr>
              <w:jc w:val="center"/>
              <w:spacing w:after="0"/>
              <w:rPr>
                <w:sz w:val="20"/>
                <w:szCs w:val="20"/>
                <w:color w:val="auto"/>
              </w:rPr>
            </w:pPr>
            <w:r>
              <w:rPr>
                <w:rFonts w:ascii="Arial" w:cs="Arial" w:eastAsia="Arial" w:hAnsi="Arial"/>
                <w:sz w:val="18"/>
                <w:szCs w:val="18"/>
                <w:color w:val="auto"/>
                <w:w w:val="85"/>
              </w:rPr>
              <w:t>$.01</w:t>
            </w:r>
          </w:p>
        </w:tc>
        <w:tc>
          <w:tcPr>
            <w:tcW w:w="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20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1"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60" w:right="47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On February 24, 2022, Ryman Hospitality Properties, Inc., a Delaware corporation (the “Company”), issued a press release announcing its financial results for the three months and year ended December 31, 2021. A copy of the press release is furnished herewith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and incorporated herein by reference.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information furnished under this Item 2.02, including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hereto, is being furnished pursuant to Item 2.02 and shall not be deemed to be “filed” for the purposes of Section 18 of the Securities Exchange Act of 1934, as amended, and Section 11 of the Securities Act of 1933, as amended, and shall not be otherwise subject to the liabilities of those sections. The Company does not undertake a duty to update the information in this Current Report on Form 8-K and cautions that the information included in this Current Report on Form 8-K under Item 2.02 is current only as of February 24, 2022 and may change thereafter.</w:t>
      </w:r>
    </w:p>
    <w:p>
      <w:pPr>
        <w:spacing w:after="0" w:line="184"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24, 2022, the Board of Directors (the “Board”) of the Company expanded the number of directors of the Company from eight to ten and appointed Michael I. Roth and Mark Fioravanti to fill the vacancies created by such expansion.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has determined that Mr. Roth qualifies as an independent director within the meaning of the New York Stock Exchange listing standards. Mr. Roth has been named to the Human Resources Committee and the Nominating and Corporate Governance Committee of the Board concurrently with his appointment to the Board. Mr. Roth’s compensation for his services as director will be consistent with that of the Company’s other non-employee directors, as described in Exhibit 10.27 to the Company’s 2020 Annual Report on Form 10-K filed with the Securities and Exchange Commission on February 26, 2021. Other than the foregoing standard compensation arrangements, there are no other arrangements or understandings between Mr. Roth and any other person pursuant to which he was appointed as a director. Mr. Roth is not a party to any transaction with the Company that would require disclosure under Item 404(a) of Regulation S-K.</w:t>
      </w:r>
    </w:p>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Mr. Fioravanti has not been named to any committee of the Board. Mr. Fioravanti will not receive any additional compensation for his services as director, and Mr. Fioravanti’s compensation for his service as the Company’s President and Chief Financial Officer was not modified in connection with his appointment to the Board. There are no arrangements or understandings between Mr. Fioravanti and any other person pursuant to which he was appointed as a director. Mr. Fioravanti is not a party to any transaction with the Company that would require disclosure under Item 404(a) of Regulation S-K.</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Mr. Roth and Mr. Fioravanti will hold office until the Company’s 2022 annual meeting of stockholders, at which time each will be considered for election for a one-year term expiring in 2023.</w:t>
      </w:r>
    </w:p>
    <w:p>
      <w:pPr>
        <w:spacing w:after="0" w:line="3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spacing w:after="0"/>
        <w:tabs>
          <w:tab w:leader="none" w:pos="12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of Ryman Hospitality Properties, Inc. dated February 24, 2022.</w:t>
        </w:r>
      </w:hyperlink>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RYMAN HOSPITALITY PROPERTIES,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J. Lynn</w:t>
            </w:r>
          </w:p>
        </w:tc>
      </w:tr>
      <w:tr>
        <w:trPr>
          <w:trHeight w:val="195"/>
        </w:trPr>
        <w:tc>
          <w:tcPr>
            <w:tcW w:w="3700" w:type="dxa"/>
            <w:vAlign w:val="bottom"/>
          </w:tcPr>
          <w:p>
            <w:pPr>
              <w:spacing w:after="0"/>
              <w:rPr>
                <w:sz w:val="16"/>
                <w:szCs w:val="16"/>
                <w:color w:val="auto"/>
              </w:rPr>
            </w:pPr>
          </w:p>
        </w:tc>
        <w:tc>
          <w:tcPr>
            <w:tcW w:w="25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Scott J. Lynn</w:t>
            </w:r>
          </w:p>
        </w:tc>
      </w:tr>
      <w:tr>
        <w:trPr>
          <w:trHeight w:val="230"/>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Reports Fourth Quarter and Full Year 2021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NASHVILLE, Tenn. (February 24, 2022) – Ryman Hospitality Properties, Inc. (NYSE: RHP), a lodging real estate investment trust (“REIT”) specializing in group-oriented, destination hotel assets in urban and resort markets, today reported financial results for the three months and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Highlights and Recent Developments:</w:t>
      </w:r>
    </w:p>
    <w:p>
      <w:pPr>
        <w:spacing w:after="0" w:line="229"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Q4 2021 Net Loss available to common shareholders of $(6.0) million improved sequentially by 30.0% from Q3 2021.</w:t>
      </w:r>
    </w:p>
    <w:p>
      <w:pPr>
        <w:spacing w:after="0" w:line="252"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Q4 2021 consolidated Adjusted EBITDAre of $85.6 million driven by strong leisure occupancy and ADR.</w:t>
      </w:r>
    </w:p>
    <w:p>
      <w:pPr>
        <w:spacing w:after="0" w:line="252" w:lineRule="exact"/>
        <w:rPr>
          <w:rFonts w:ascii="Arial" w:cs="Arial" w:eastAsia="Arial" w:hAnsi="Arial"/>
          <w:sz w:val="18"/>
          <w:szCs w:val="18"/>
          <w:color w:val="auto"/>
        </w:rPr>
      </w:pPr>
    </w:p>
    <w:p>
      <w:pPr>
        <w:ind w:left="500" w:right="26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Despite larger than expected group cancellations driven by Delta and Omicron variants, occupancy for the Hospitality segment was 53.0% in Q4 2021, with nearly 236,000 group room nights traveling during the quarter representing 46.4% of total occupancy.</w:t>
      </w:r>
    </w:p>
    <w:p>
      <w:pPr>
        <w:spacing w:after="0" w:line="19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Company collected $20.5 million in cancellation and attrition fees in Q4 2021 bringing full year collections to $48.5 million.</w:t>
      </w:r>
    </w:p>
    <w:p>
      <w:pPr>
        <w:spacing w:after="0" w:line="225" w:lineRule="exact"/>
        <w:rPr>
          <w:rFonts w:ascii="Arial" w:cs="Arial" w:eastAsia="Arial" w:hAnsi="Arial"/>
          <w:sz w:val="18"/>
          <w:szCs w:val="18"/>
          <w:color w:val="auto"/>
        </w:rPr>
      </w:pPr>
    </w:p>
    <w:p>
      <w:pPr>
        <w:ind w:left="500" w:right="14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Strong ADR performance across our five Gaylord Hotels, with ADR reaching almost $247 per night in Q4 2021, an increase of 17.7% compared to the Q4 2020 and 19.6% compared to Q4 2019.</w:t>
      </w:r>
    </w:p>
    <w:p>
      <w:pPr>
        <w:spacing w:after="0" w:line="197" w:lineRule="exact"/>
        <w:rPr>
          <w:rFonts w:ascii="Arial" w:cs="Arial" w:eastAsia="Arial" w:hAnsi="Arial"/>
          <w:sz w:val="18"/>
          <w:szCs w:val="18"/>
          <w:color w:val="auto"/>
        </w:rPr>
      </w:pPr>
    </w:p>
    <w:p>
      <w:pPr>
        <w:ind w:left="500" w:right="14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Gross Advanced Group Room Bookings in full year 2021 of 2.5 million room nights for all future years, represents a 10.8% increase over 2020 and a decrease of 8.7% compared to 2019.</w:t>
      </w:r>
    </w:p>
    <w:p>
      <w:pPr>
        <w:spacing w:after="0" w:line="197"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Early in Q4 2021, the Company announced a proposed transaction to acquire Block 21, a mixed-use entertainment complex in Austin Texas with an expected closing to be by the end of the Q1 2022.</w:t>
      </w:r>
    </w:p>
    <w:p>
      <w:pPr>
        <w:spacing w:after="0" w:line="19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Today the Company expanded its Board of Directors to 10 members and appointed Michael Roth and Mark Fioravanti to the Board.</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Colin Reed, Chairman and Chief Executive Officer of Ryman Hospitality Properties, said, “We believe that our fourth quarter and full year performance has demonstrated once again that we have built a powerful and nimble business positioned to thrive in the face of uncertainty. While the Delta and Omicron variants created headwinds, we are pleased to note improvement in group travel as compared to 2020 and encouraging trends for future periods as national health conditions improve. Leisure demand was a bright spot throughout the year for our hospitality and entertainment businesses and contributed to full year results that exceeded our internal expectations. The significant capital investments we have made across our hotel portfolio over the last several years in upscale amenities and unique leisure offerings, such as our world-class SoundWaves resort amenity, have created additional growth opportunities and further differentiate our product versus the competition allowing us to sustain continued rate growth by delivering added value to our customers. Despite experiencing occupancy levels well below 2019 levels for the same period, our hotel operators delivered impressive Adjusted EBITDAre performance, thanks in part to the flexibility of our unique model.”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2021 Results (as compared to Fourth Quarter and Full Year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90"/>
              </w:rPr>
              <w:t>Three Months Ended</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gridSpan w:val="7"/>
          </w:tcPr>
          <w:p>
            <w:pPr>
              <w:jc w:val="center"/>
              <w:ind w:left="410"/>
              <w:spacing w:after="0"/>
              <w:rPr>
                <w:sz w:val="20"/>
                <w:szCs w:val="20"/>
                <w:color w:val="auto"/>
              </w:rPr>
            </w:pPr>
            <w:r>
              <w:rPr>
                <w:rFonts w:ascii="Arial" w:cs="Arial" w:eastAsia="Arial" w:hAnsi="Arial"/>
                <w:sz w:val="18"/>
                <w:szCs w:val="18"/>
                <w:b w:val="1"/>
                <w:bCs w:val="1"/>
                <w:color w:val="auto"/>
                <w:w w:val="90"/>
              </w:rPr>
              <w:t>Twelve Months Ended</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30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8"/>
                <w:szCs w:val="18"/>
                <w:color w:val="auto"/>
              </w:rPr>
              <w:t>($ in thousands, except per share amounts)</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 ∆</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bottom w:val="single" w:sz="8" w:color="CCEEFF"/>
            </w:tcBorders>
          </w:tcPr>
          <w:p>
            <w:pPr>
              <w:spacing w:after="0"/>
              <w:rPr>
                <w:sz w:val="19"/>
                <w:szCs w:val="19"/>
                <w:color w:val="auto"/>
              </w:rPr>
            </w:pPr>
          </w:p>
        </w:tc>
      </w:tr>
      <w:tr>
        <w:trPr>
          <w:trHeight w:val="209"/>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79.1%</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4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9"/>
                <w:szCs w:val="29"/>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(64,680)</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140.4%</w:t>
            </w:r>
          </w:p>
        </w:tc>
        <w:tc>
          <w:tcPr>
            <w:tcW w:w="2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(58,675)</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(303,831)</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80.7%</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income (loss) margin</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58.0pt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1"/>
              </w:rPr>
              <w:t>51.7pt</w:t>
            </w: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900" w:orient="portrait"/>
          <w:cols w:equalWidth="0" w:num="1">
            <w:col w:w="11240"/>
          </w:cols>
          <w:pgMar w:left="320" w:top="355" w:right="33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Net loss available to common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loss available to common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loss available to common shareholders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Pr>
          <w:p>
            <w:pPr>
              <w:spacing w:after="0"/>
              <w:rPr>
                <w:sz w:val="20"/>
                <w:szCs w:val="20"/>
                <w:color w:val="auto"/>
              </w:rPr>
            </w:pPr>
            <w:r>
              <w:rPr>
                <w:rFonts w:ascii="Arial" w:cs="Arial" w:eastAsia="Arial" w:hAnsi="Arial"/>
                <w:sz w:val="15"/>
                <w:szCs w:val="15"/>
                <w:color w:val="auto"/>
              </w:rPr>
              <w:t>(1) (2) (3)</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(5,980)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(79,724)</w:t>
            </w:r>
          </w:p>
        </w:tc>
        <w:tc>
          <w:tcPr>
            <w:tcW w:w="860" w:type="dxa"/>
            <w:vAlign w:val="bottom"/>
          </w:tcPr>
          <w:p>
            <w:pPr>
              <w:ind w:left="340"/>
              <w:spacing w:after="0"/>
              <w:rPr>
                <w:sz w:val="20"/>
                <w:szCs w:val="20"/>
                <w:color w:val="auto"/>
              </w:rPr>
            </w:pPr>
            <w:r>
              <w:rPr>
                <w:rFonts w:ascii="Arial" w:cs="Arial" w:eastAsia="Arial" w:hAnsi="Arial"/>
                <w:sz w:val="18"/>
                <w:szCs w:val="18"/>
                <w:color w:val="auto"/>
                <w:w w:val="97"/>
              </w:rPr>
              <w:t>92.5%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w w:val="98"/>
              </w:rPr>
              <w:t>(176,966)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(417,391)</w:t>
            </w:r>
          </w:p>
        </w:tc>
        <w:tc>
          <w:tcPr>
            <w:tcW w:w="80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margin</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-63.0%</w:t>
            </w:r>
          </w:p>
        </w:tc>
        <w:tc>
          <w:tcPr>
            <w:tcW w:w="860" w:type="dxa"/>
            <w:vAlign w:val="bottom"/>
          </w:tcPr>
          <w:p>
            <w:pPr>
              <w:ind w:left="340"/>
              <w:spacing w:after="0"/>
              <w:rPr>
                <w:sz w:val="20"/>
                <w:szCs w:val="20"/>
                <w:color w:val="auto"/>
              </w:rPr>
            </w:pPr>
            <w:r>
              <w:rPr>
                <w:rFonts w:ascii="Arial" w:cs="Arial" w:eastAsia="Arial" w:hAnsi="Arial"/>
                <w:sz w:val="18"/>
                <w:szCs w:val="18"/>
                <w:color w:val="auto"/>
                <w:w w:val="99"/>
              </w:rPr>
              <w:t>61.4pt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-79.6%</w:t>
            </w:r>
          </w:p>
        </w:tc>
        <w:tc>
          <w:tcPr>
            <w:tcW w:w="800" w:type="dxa"/>
            <w:vAlign w:val="bottom"/>
          </w:tcPr>
          <w:p>
            <w:pPr>
              <w:jc w:val="right"/>
              <w:spacing w:after="0"/>
              <w:rPr>
                <w:sz w:val="20"/>
                <w:szCs w:val="20"/>
                <w:color w:val="auto"/>
              </w:rPr>
            </w:pPr>
            <w:r>
              <w:rPr>
                <w:rFonts w:ascii="Arial" w:cs="Arial" w:eastAsia="Arial" w:hAnsi="Arial"/>
                <w:sz w:val="18"/>
                <w:szCs w:val="18"/>
                <w:color w:val="auto"/>
              </w:rPr>
              <w:t>60.8pt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per diluted</w:t>
            </w:r>
          </w:p>
        </w:tc>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(0.11)</w:t>
            </w: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50"/>
              <w:spacing w:after="0"/>
              <w:rPr>
                <w:sz w:val="20"/>
                <w:szCs w:val="20"/>
                <w:color w:val="auto"/>
              </w:rPr>
            </w:pPr>
            <w:r>
              <w:rPr>
                <w:rFonts w:ascii="Arial" w:cs="Arial" w:eastAsia="Arial" w:hAnsi="Arial"/>
                <w:sz w:val="18"/>
                <w:szCs w:val="18"/>
                <w:color w:val="auto"/>
              </w:rPr>
              <w:t>(1.45)</w:t>
            </w:r>
          </w:p>
        </w:tc>
        <w:tc>
          <w:tcPr>
            <w:tcW w:w="860" w:type="dxa"/>
            <w:vAlign w:val="bottom"/>
            <w:vMerge w:val="restart"/>
          </w:tcPr>
          <w:p>
            <w:pPr>
              <w:ind w:left="340"/>
              <w:spacing w:after="0"/>
              <w:rPr>
                <w:sz w:val="20"/>
                <w:szCs w:val="20"/>
                <w:color w:val="auto"/>
              </w:rPr>
            </w:pPr>
            <w:r>
              <w:rPr>
                <w:rFonts w:ascii="Arial" w:cs="Arial" w:eastAsia="Arial" w:hAnsi="Arial"/>
                <w:sz w:val="18"/>
                <w:szCs w:val="18"/>
                <w:color w:val="auto"/>
                <w:w w:val="97"/>
              </w:rPr>
              <w:t>92.4%</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(3.21)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(7.59)</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-410845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900" w:orient="portrait"/>
          <w:cols w:equalWidth="0" w:num="2">
            <w:col w:w="3100" w:space="40"/>
            <w:col w:w="8100"/>
          </w:cols>
          <w:pgMar w:left="320" w:top="355" w:right="3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85,641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(6,633)</w:t>
            </w:r>
          </w:p>
        </w:tc>
        <w:tc>
          <w:tcPr>
            <w:tcW w:w="960" w:type="dxa"/>
            <w:vAlign w:val="bottom"/>
          </w:tcPr>
          <w:p>
            <w:pPr>
              <w:jc w:val="right"/>
              <w:spacing w:after="0"/>
              <w:rPr>
                <w:sz w:val="20"/>
                <w:szCs w:val="20"/>
                <w:color w:val="auto"/>
              </w:rPr>
            </w:pPr>
            <w:r>
              <w:rPr>
                <w:rFonts w:ascii="Arial" w:cs="Arial" w:eastAsia="Arial" w:hAnsi="Arial"/>
                <w:sz w:val="18"/>
                <w:szCs w:val="18"/>
                <w:color w:val="auto"/>
              </w:rPr>
              <w:t>1391.1%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177,339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(40,279)</w:t>
            </w:r>
          </w:p>
        </w:tc>
        <w:tc>
          <w:tcPr>
            <w:tcW w:w="860" w:type="dxa"/>
            <w:vAlign w:val="bottom"/>
          </w:tcPr>
          <w:p>
            <w:pPr>
              <w:jc w:val="right"/>
              <w:spacing w:after="0"/>
              <w:rPr>
                <w:sz w:val="20"/>
                <w:szCs w:val="20"/>
                <w:color w:val="auto"/>
              </w:rPr>
            </w:pPr>
            <w:r>
              <w:rPr>
                <w:rFonts w:ascii="Arial" w:cs="Arial" w:eastAsia="Arial" w:hAnsi="Arial"/>
                <w:sz w:val="18"/>
                <w:szCs w:val="18"/>
                <w:color w:val="auto"/>
              </w:rPr>
              <w:t>540.3%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margin</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27.9pt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26.6pt</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6"/>
              </w:rPr>
              <w:t>Adjusted EBITDA</w:t>
            </w:r>
            <w:r>
              <w:rPr>
                <w:rFonts w:ascii="Arial" w:cs="Arial" w:eastAsia="Arial" w:hAnsi="Arial"/>
                <w:sz w:val="18"/>
                <w:szCs w:val="18"/>
                <w:i w:val="1"/>
                <w:iCs w:val="1"/>
                <w:color w:val="auto"/>
                <w:w w:val="96"/>
              </w:rPr>
              <w:t>re</w:t>
            </w:r>
            <w:r>
              <w:rPr>
                <w:rFonts w:ascii="Arial" w:cs="Arial" w:eastAsia="Arial" w:hAnsi="Arial"/>
                <w:sz w:val="18"/>
                <w:szCs w:val="18"/>
                <w:color w:val="auto"/>
                <w:w w:val="96"/>
              </w:rPr>
              <w:t>, excluding noncontrolling interest in</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consolidated joint venture</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85,641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(5,534)</w:t>
            </w:r>
          </w:p>
        </w:tc>
        <w:tc>
          <w:tcPr>
            <w:tcW w:w="960" w:type="dxa"/>
            <w:vAlign w:val="bottom"/>
          </w:tcPr>
          <w:p>
            <w:pPr>
              <w:jc w:val="right"/>
              <w:spacing w:after="0"/>
              <w:rPr>
                <w:sz w:val="20"/>
                <w:szCs w:val="20"/>
                <w:color w:val="auto"/>
              </w:rPr>
            </w:pPr>
            <w:r>
              <w:rPr>
                <w:rFonts w:ascii="Arial" w:cs="Arial" w:eastAsia="Arial" w:hAnsi="Arial"/>
                <w:sz w:val="18"/>
                <w:szCs w:val="18"/>
                <w:color w:val="auto"/>
              </w:rPr>
              <w:t>1647.5%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178,356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(44,268)</w:t>
            </w:r>
          </w:p>
        </w:tc>
        <w:tc>
          <w:tcPr>
            <w:tcW w:w="860" w:type="dxa"/>
            <w:vAlign w:val="bottom"/>
          </w:tcPr>
          <w:p>
            <w:pPr>
              <w:jc w:val="right"/>
              <w:spacing w:after="0"/>
              <w:rPr>
                <w:sz w:val="20"/>
                <w:szCs w:val="20"/>
                <w:color w:val="auto"/>
              </w:rPr>
            </w:pPr>
            <w:r>
              <w:rPr>
                <w:rFonts w:ascii="Arial" w:cs="Arial" w:eastAsia="Arial" w:hAnsi="Arial"/>
                <w:sz w:val="18"/>
                <w:szCs w:val="18"/>
                <w:color w:val="auto"/>
              </w:rPr>
              <w:t>502.9%</w:t>
            </w: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Adjusted EBITDA</w:t>
            </w:r>
            <w:r>
              <w:rPr>
                <w:rFonts w:ascii="Arial" w:cs="Arial" w:eastAsia="Arial" w:hAnsi="Arial"/>
                <w:sz w:val="18"/>
                <w:szCs w:val="18"/>
                <w:i w:val="1"/>
                <w:iCs w:val="1"/>
                <w:color w:val="auto"/>
                <w:w w:val="96"/>
              </w:rPr>
              <w:t>re</w:t>
            </w:r>
            <w:r>
              <w:rPr>
                <w:rFonts w:ascii="Arial" w:cs="Arial" w:eastAsia="Arial" w:hAnsi="Arial"/>
                <w:sz w:val="18"/>
                <w:szCs w:val="18"/>
                <w:color w:val="auto"/>
                <w:w w:val="96"/>
              </w:rPr>
              <w:t>, excluding noncontrolling interest in</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joint venture margin</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27.1pt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27.4pt</w:t>
            </w:r>
          </w:p>
        </w:tc>
      </w:t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5"/>
        </w:trPr>
        <w:tc>
          <w:tcPr>
            <w:tcW w:w="42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Funds From Operations (FFO) available to common</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67"/>
        </w:trPr>
        <w:tc>
          <w:tcPr>
            <w:tcW w:w="428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shareholders and unit holders </w:t>
            </w:r>
            <w:r>
              <w:rPr>
                <w:rFonts w:ascii="Arial" w:cs="Arial" w:eastAsia="Arial" w:hAnsi="Arial"/>
                <w:sz w:val="29"/>
                <w:szCs w:val="29"/>
                <w:color w:val="auto"/>
                <w:vertAlign w:val="superscript"/>
              </w:rPr>
              <w:t>(1) (2) (3)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50,238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(34,421)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30,915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(236,577)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5"/>
              </w:rPr>
              <w:t>FFO available to common shareholders and unit holders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6"/>
        </w:trPr>
        <w:tc>
          <w:tcPr>
            <w:tcW w:w="4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per diluted share/unit</w:t>
            </w:r>
          </w:p>
        </w:tc>
        <w:tc>
          <w:tcPr>
            <w:tcW w:w="38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0.91</w:t>
            </w:r>
          </w:p>
        </w:tc>
        <w:tc>
          <w:tcPr>
            <w:tcW w:w="2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(0.62)</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246.8%</w:t>
            </w:r>
          </w:p>
        </w:tc>
        <w:tc>
          <w:tcPr>
            <w:tcW w:w="2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0.56</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290"/>
              <w:spacing w:after="0"/>
              <w:rPr>
                <w:sz w:val="20"/>
                <w:szCs w:val="20"/>
                <w:color w:val="auto"/>
              </w:rPr>
            </w:pPr>
            <w:r>
              <w:rPr>
                <w:rFonts w:ascii="Arial" w:cs="Arial" w:eastAsia="Arial" w:hAnsi="Arial"/>
                <w:sz w:val="18"/>
                <w:szCs w:val="18"/>
                <w:color w:val="auto"/>
              </w:rPr>
              <w:t>(4.29)</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113.1%</w:t>
            </w:r>
          </w:p>
        </w:tc>
      </w:tr>
    </w:tbl>
    <w:p>
      <w:pPr>
        <w:sectPr>
          <w:pgSz w:w="11900" w:h="16900" w:orient="portrait"/>
          <w:cols w:equalWidth="0" w:num="1">
            <w:col w:w="11240"/>
          </w:cols>
          <w:pgMar w:left="320" w:top="355" w:right="33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2"/>
              </w:rPr>
              <w:t>Adjusted FFO available to common shareholders and unit</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holders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52,069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(31,042)</w:t>
            </w:r>
          </w:p>
        </w:tc>
        <w:tc>
          <w:tcPr>
            <w:tcW w:w="960" w:type="dxa"/>
            <w:vAlign w:val="bottom"/>
          </w:tcPr>
          <w:p>
            <w:pPr>
              <w:jc w:val="right"/>
              <w:spacing w:after="0"/>
              <w:rPr>
                <w:sz w:val="20"/>
                <w:szCs w:val="20"/>
                <w:color w:val="auto"/>
              </w:rPr>
            </w:pPr>
            <w:r>
              <w:rPr>
                <w:rFonts w:ascii="Arial" w:cs="Arial" w:eastAsia="Arial" w:hAnsi="Arial"/>
                <w:sz w:val="18"/>
                <w:szCs w:val="18"/>
                <w:color w:val="auto"/>
              </w:rPr>
              <w:t>267.7%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52,030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(149,598)</w:t>
            </w:r>
          </w:p>
        </w:tc>
        <w:tc>
          <w:tcPr>
            <w:tcW w:w="900" w:type="dxa"/>
            <w:vAlign w:val="bottom"/>
          </w:tcPr>
          <w:p>
            <w:pPr>
              <w:jc w:val="right"/>
              <w:spacing w:after="0"/>
              <w:rPr>
                <w:sz w:val="20"/>
                <w:szCs w:val="20"/>
                <w:color w:val="auto"/>
              </w:rPr>
            </w:pPr>
            <w:r>
              <w:rPr>
                <w:rFonts w:ascii="Arial" w:cs="Arial" w:eastAsia="Arial" w:hAnsi="Arial"/>
                <w:sz w:val="18"/>
                <w:szCs w:val="18"/>
                <w:color w:val="auto"/>
              </w:rPr>
              <w:t>134.8%</w:t>
            </w: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Adjusted FFO available to common shareholders and unit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 per diluted share/unit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(0.56)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r>
    </w:tbl>
    <w:p>
      <w:pPr>
        <w:spacing w:after="0" w:line="2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twelve months ended December 31, 2020, includes approximately $32.8 million for credit losses on held-to-maturity securities.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twelve months ended December 31, 2020, includes $26.7 million in expense for income tax valuation allowances.</w:t>
      </w:r>
    </w:p>
    <w:p>
      <w:pPr>
        <w:spacing w:after="0" w:line="9" w:lineRule="exact"/>
        <w:rPr>
          <w:rFonts w:ascii="Arial" w:cs="Arial" w:eastAsia="Arial" w:hAnsi="Arial"/>
          <w:sz w:val="18"/>
          <w:szCs w:val="18"/>
          <w:color w:val="auto"/>
        </w:rPr>
      </w:pPr>
    </w:p>
    <w:p>
      <w:pPr>
        <w:ind w:left="340" w:right="240" w:hanging="332"/>
        <w:spacing w:after="0" w:line="26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twelve months ended December 31, 2020, includes $15.0 million of expense related to the forfeiture of the earnest money deposit associated with the previously terminated potential acquisition of Block 21.</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Note: For the Company’s definitions of Adjusted EBITDA</w:t>
      </w:r>
      <w:r>
        <w:rPr>
          <w:rFonts w:ascii="Arial" w:cs="Arial" w:eastAsia="Arial" w:hAnsi="Arial"/>
          <w:sz w:val="18"/>
          <w:szCs w:val="18"/>
          <w:i w:val="1"/>
          <w:iCs w:val="1"/>
          <w:color w:val="auto"/>
        </w:rPr>
        <w:t>re</w:t>
      </w:r>
      <w:r>
        <w:rPr>
          <w:rFonts w:ascii="Arial" w:cs="Arial" w:eastAsia="Arial" w:hAnsi="Arial"/>
          <w:sz w:val="18"/>
          <w:szCs w:val="18"/>
          <w:color w:val="auto"/>
        </w:rPr>
        <w:t>,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margin,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 margin, FFO available to common shareholders and unit holders, and Adjusted FFO available to common shareholders and unit holders, as well as a reconciliation of the non-GAAP financial measure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to Net Income/(Loss) and a reconciliation of the non-GAAP financial measure Adjusted FFO available to common shareholders and unit holders to Net Income/(Loss), see “Non-GAAP Financial Measures,” “EBITDA</w:t>
      </w:r>
      <w:r>
        <w:rPr>
          <w:rFonts w:ascii="Arial" w:cs="Arial" w:eastAsia="Arial" w:hAnsi="Arial"/>
          <w:sz w:val="18"/>
          <w:szCs w:val="18"/>
          <w:i w:val="1"/>
          <w:iCs w:val="1"/>
          <w:color w:val="auto"/>
        </w:rPr>
        <w:t>re</w:t>
      </w:r>
      <w:r>
        <w:rPr>
          <w:rFonts w:ascii="Arial" w:cs="Arial" w:eastAsia="Arial" w:hAnsi="Arial"/>
          <w:sz w:val="18"/>
          <w:szCs w:val="18"/>
          <w:color w:val="auto"/>
        </w:rPr>
        <w:t>,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 Definition,”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 Margin Definition” “FFO, Adjusted FFO, and Adjusted FFO available to common shareholders and unit holders Definition” and “Supplemental Financial Results”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Hospitality Segment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4340" w:type="dxa"/>
            <w:vAlign w:val="bottom"/>
            <w:gridSpan w:val="2"/>
          </w:tcPr>
          <w:p>
            <w:pPr>
              <w:spacing w:after="0"/>
              <w:rPr>
                <w:sz w:val="20"/>
                <w:szCs w:val="20"/>
                <w:color w:val="auto"/>
              </w:rPr>
            </w:pPr>
            <w:r>
              <w:rPr>
                <w:rFonts w:ascii="Arial" w:cs="Arial" w:eastAsia="Arial" w:hAnsi="Arial"/>
                <w:sz w:val="18"/>
                <w:szCs w:val="18"/>
                <w:color w:val="auto"/>
                <w:w w:val="91"/>
              </w:rPr>
              <w:t>($ in thousands, except ADR, RevPAR, and Total RevPAR)</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1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7"/>
          </w:tcPr>
          <w:p>
            <w:pPr>
              <w:jc w:val="center"/>
              <w:ind w:left="450"/>
              <w:spacing w:after="0"/>
              <w:rPr>
                <w:sz w:val="20"/>
                <w:szCs w:val="20"/>
                <w:color w:val="auto"/>
              </w:rPr>
            </w:pPr>
            <w:r>
              <w:rPr>
                <w:rFonts w:ascii="Arial" w:cs="Arial" w:eastAsia="Arial" w:hAnsi="Arial"/>
                <w:sz w:val="18"/>
                <w:szCs w:val="18"/>
                <w:b w:val="1"/>
                <w:bCs w:val="1"/>
                <w:color w:val="auto"/>
                <w:w w:val="89"/>
              </w:rPr>
              <w:t>Twelve Months Ended</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5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56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 ∆</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bottom w:val="single" w:sz="8" w:color="CCEEFF"/>
            </w:tcBorders>
          </w:tcPr>
          <w:p>
            <w:pPr>
              <w:spacing w:after="0"/>
              <w:rPr>
                <w:sz w:val="19"/>
                <w:szCs w:val="19"/>
                <w:color w:val="auto"/>
              </w:rPr>
            </w:pPr>
          </w:p>
        </w:tc>
      </w:tr>
      <w:tr>
        <w:trPr>
          <w:trHeight w:val="237"/>
        </w:trPr>
        <w:tc>
          <w:tcPr>
            <w:tcW w:w="434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Hospitality Revenue </w:t>
            </w:r>
            <w:r>
              <w:rPr>
                <w:rFonts w:ascii="Arial" w:cs="Arial" w:eastAsia="Arial" w:hAnsi="Arial"/>
                <w:sz w:val="27"/>
                <w:szCs w:val="27"/>
                <w:color w:val="auto"/>
                <w:vertAlign w:val="superscript"/>
              </w:rPr>
              <w:t>(1)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323,240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112,091</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786,583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466,045</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w:t>
            </w:r>
          </w:p>
        </w:tc>
      </w:tr>
      <w:tr>
        <w:trPr>
          <w:trHeight w:val="216"/>
        </w:trPr>
        <w:tc>
          <w:tcPr>
            <w:tcW w:w="1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Hospitality Operating income (loss) </w:t>
            </w:r>
            <w:r>
              <w:rPr>
                <w:rFonts w:ascii="Arial" w:cs="Arial" w:eastAsia="Arial" w:hAnsi="Arial"/>
                <w:sz w:val="29"/>
                <w:szCs w:val="29"/>
                <w:color w:val="auto"/>
                <w:vertAlign w:val="superscript"/>
              </w:rPr>
              <w:t>(1) (2) (5)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27,833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(50,389)</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(38,427)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(236,790)</w:t>
            </w: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w:t>
            </w:r>
          </w:p>
        </w:tc>
      </w:tr>
      <w:tr>
        <w:trPr>
          <w:trHeight w:val="256"/>
        </w:trPr>
        <w:tc>
          <w:tcPr>
            <w:tcW w:w="43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Hospitality Operating income/(loss) margin </w:t>
            </w:r>
            <w:r>
              <w:rPr>
                <w:rFonts w:ascii="Arial" w:cs="Arial" w:eastAsia="Arial" w:hAnsi="Arial"/>
                <w:sz w:val="29"/>
                <w:szCs w:val="29"/>
                <w:color w:val="auto"/>
                <w:vertAlign w:val="superscript"/>
              </w:rPr>
              <w:t>(1) (2) (5)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53.6pt</w:t>
            </w:r>
          </w:p>
        </w:tc>
        <w:tc>
          <w:tcPr>
            <w:tcW w:w="14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45.9pt</w:t>
            </w:r>
          </w:p>
        </w:tc>
      </w:tr>
      <w:tr>
        <w:trPr>
          <w:trHeight w:val="257"/>
        </w:trPr>
        <w:tc>
          <w:tcPr>
            <w:tcW w:w="4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Hospitality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w:t>
            </w:r>
            <w:r>
              <w:rPr>
                <w:rFonts w:ascii="Arial" w:cs="Arial" w:eastAsia="Arial" w:hAnsi="Arial"/>
                <w:sz w:val="29"/>
                <w:szCs w:val="29"/>
                <w:color w:val="auto"/>
                <w:vertAlign w:val="superscript"/>
              </w:rPr>
              <w:t>(1) (5)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82,343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1,791</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175,648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6,701</w:t>
            </w: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2521.2%</w:t>
            </w:r>
          </w:p>
        </w:tc>
      </w:tr>
      <w:tr>
        <w:trPr>
          <w:trHeight w:val="257"/>
        </w:trPr>
        <w:tc>
          <w:tcPr>
            <w:tcW w:w="4340" w:type="dxa"/>
            <w:vAlign w:val="bottom"/>
            <w:gridSpan w:val="2"/>
          </w:tcPr>
          <w:p>
            <w:pPr>
              <w:spacing w:after="0" w:line="256" w:lineRule="exact"/>
              <w:rPr>
                <w:sz w:val="20"/>
                <w:szCs w:val="20"/>
                <w:color w:val="auto"/>
              </w:rPr>
            </w:pPr>
            <w:r>
              <w:rPr>
                <w:rFonts w:ascii="Arial" w:cs="Arial" w:eastAsia="Arial" w:hAnsi="Arial"/>
                <w:sz w:val="18"/>
                <w:szCs w:val="18"/>
                <w:color w:val="auto"/>
              </w:rPr>
              <w:t>Hospitality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margin </w:t>
            </w:r>
            <w:r>
              <w:rPr>
                <w:rFonts w:ascii="Arial" w:cs="Arial" w:eastAsia="Arial" w:hAnsi="Arial"/>
                <w:sz w:val="29"/>
                <w:szCs w:val="29"/>
                <w:color w:val="auto"/>
                <w:vertAlign w:val="superscript"/>
              </w:rPr>
              <w:t>(1) (5)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23.9pt</w:t>
            </w:r>
          </w:p>
        </w:tc>
        <w:tc>
          <w:tcPr>
            <w:tcW w:w="14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20.9pt</w:t>
            </w:r>
          </w:p>
        </w:tc>
      </w:tr>
      <w:tr>
        <w:trPr>
          <w:trHeight w:val="216"/>
        </w:trPr>
        <w:tc>
          <w:tcPr>
            <w:tcW w:w="15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43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Hospitality Performance Metrics </w:t>
            </w:r>
            <w:r>
              <w:rPr>
                <w:rFonts w:ascii="Arial" w:cs="Arial" w:eastAsia="Arial" w:hAnsi="Arial"/>
                <w:sz w:val="29"/>
                <w:szCs w:val="29"/>
                <w:color w:val="auto"/>
                <w:vertAlign w:val="superscript"/>
              </w:rPr>
              <w:t>(1) (3)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Occupancy</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33.4pt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16.3pt</w:t>
            </w: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Average Daily Rate (ADR)</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246.96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209.81</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221.33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200.02</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RevPAR</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w:t>
            </w: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Total RevPAR</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337.44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120.51</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209.34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125.95</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r>
      <w:tr>
        <w:trPr>
          <w:trHeight w:val="216"/>
        </w:trPr>
        <w:tc>
          <w:tcPr>
            <w:tcW w:w="15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Gross Definite Rooms Nights Booked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993,543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569,978</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2,504,975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2,260,761</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Definite Rooms Nights Booked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728,720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(90,460)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1,201,268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(783,304)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253.4%</w:t>
            </w: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Group Attrition (as % of contracted block)</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-27.5pt</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-13.4pt</w:t>
            </w:r>
          </w:p>
        </w:tc>
      </w:tr>
      <w:tr>
        <w:trPr>
          <w:trHeight w:val="257"/>
        </w:trPr>
        <w:tc>
          <w:tcPr>
            <w:tcW w:w="434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Cancellations ITYFTY </w:t>
            </w:r>
            <w:r>
              <w:rPr>
                <w:rFonts w:ascii="Arial" w:cs="Arial" w:eastAsia="Arial" w:hAnsi="Arial"/>
                <w:sz w:val="29"/>
                <w:szCs w:val="29"/>
                <w:color w:val="auto"/>
                <w:vertAlign w:val="superscript"/>
              </w:rPr>
              <w:t>(4)</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20,934</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571,663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1,540,366</w:t>
            </w: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r>
    </w:tbl>
    <w:p>
      <w:pPr>
        <w:spacing w:after="0" w:line="2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Gaylord National closed on March 25, 2020 and remained closed until July 1, 2021.</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twelve months ended December 31, 2020, includes approximately $32.8 million for credit losses on held-to-maturity securities.</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Calculation of hospitality performance metrics includes closed hotel room nights available; includes the addition of 302 additional guest rooms due to Gaylord Palms expansion beginning June 1, 2021. ADR is for occupied rooms.</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"ITYFTY" represents In The Year For The Year.</w:t>
      </w:r>
    </w:p>
    <w:p>
      <w:pPr>
        <w:spacing w:after="0" w:line="9" w:lineRule="exact"/>
        <w:rPr>
          <w:rFonts w:ascii="Arial" w:cs="Arial" w:eastAsia="Arial" w:hAnsi="Arial"/>
          <w:sz w:val="18"/>
          <w:szCs w:val="18"/>
          <w:color w:val="auto"/>
        </w:rPr>
      </w:pPr>
    </w:p>
    <w:p>
      <w:pPr>
        <w:ind w:left="340" w:hanging="332"/>
        <w:spacing w:after="0" w:line="273"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three and twelve months ended December 31, 2021, includes approximately $1.9 million and $4.6 million in credits, respectively, which are net of $0.3 million and $4.1 million of payroll tax credits afforded under the 2020 Coronavirus Aid, Relief, and Economic Security Act (the "CARES" Act). For the three and twelve months ended December 31, 2020, includes approximately $0.4 million in net credits and $34.5 million in COVID-19 related expenses, respectively, which are each net of $7.9 million in payroll tax credits afforded under the CARES act.</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Note: For the Company’s definitions of Revenue Per Available Room (RevPAR) and Total Revenue Per Available Room (Total RevPAR), see “Calculation of RevPAR, Total RevPAR, and Occupancy” below. Property-level results and operating metrics for fourth quarter 2021 are presented in greater detail below and under “Supplemental Financial Results—Hospitality Segment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Reconciliations and Operating Metrics,” which includes a reconciliation of the non-GAAP financial measures Hospitality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to Hospitality Operating Income/(Loss), and property-level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to property-level Operating Income/(Loss) for each of the hotel properties.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Hospitality Segment Highlights</w:t>
      </w:r>
    </w:p>
    <w:p>
      <w:pPr>
        <w:spacing w:after="0" w:line="229" w:lineRule="exact"/>
        <w:rPr>
          <w:sz w:val="20"/>
          <w:szCs w:val="20"/>
          <w:color w:val="auto"/>
        </w:rPr>
      </w:pPr>
    </w:p>
    <w:p>
      <w:pPr>
        <w:ind w:left="500" w:right="48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Hotel occupancy reached 53.0% in the Q4 2021; an increase of 33.4 percentage points compared to Q4 2020. Of the room nights that traveled during Q4 2021, 46.4% were groups while the remaining 53.6% were leisure customers.</w:t>
      </w:r>
    </w:p>
    <w:p>
      <w:pPr>
        <w:spacing w:after="0" w:line="197" w:lineRule="exact"/>
        <w:rPr>
          <w:rFonts w:ascii="Arial" w:cs="Arial" w:eastAsia="Arial" w:hAnsi="Arial"/>
          <w:sz w:val="18"/>
          <w:szCs w:val="18"/>
          <w:color w:val="auto"/>
        </w:rPr>
      </w:pPr>
    </w:p>
    <w:p>
      <w:pPr>
        <w:ind w:left="500" w:right="16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Driven by strong transient ADR, Gaylord Hotels came within 1.0% of its all-time monthly room revenue record in December, despite an occupancy rate of 60.3% compared to the historic record month (March 2019) with an occupancy rate of 79.0%.</w:t>
      </w:r>
    </w:p>
    <w:p>
      <w:pPr>
        <w:spacing w:after="0" w:line="197"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Gaylord Texan led the brand in occupancy, generating 62.6% occupancy in Q4 2021.</w:t>
      </w:r>
    </w:p>
    <w:p>
      <w:pPr>
        <w:spacing w:after="0" w:line="252" w:lineRule="exact"/>
        <w:rPr>
          <w:rFonts w:ascii="Arial" w:cs="Arial" w:eastAsia="Arial" w:hAnsi="Arial"/>
          <w:sz w:val="18"/>
          <w:szCs w:val="18"/>
          <w:color w:val="auto"/>
        </w:rPr>
      </w:pPr>
    </w:p>
    <w:p>
      <w:pPr>
        <w:ind w:left="500" w:right="32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Gaylord Opryland was a close second at 61.4% occupancy for the quarter and achieved record monthly revenue and Adjusted EBITDAre for the hotel in December 2021.</w:t>
      </w:r>
    </w:p>
    <w:p>
      <w:pPr>
        <w:spacing w:after="0" w:line="197"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 Q4 2021, Gaylord Hotels set quarterly records for transient ADR ($277) and transient room nights (272,000).</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Gaylord Opryland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 thousands, except ADR, RevPAR, and Total RevPAR)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1"/>
              </w:rPr>
              <w:t>Twelve Months Ended</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1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116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 ∆</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 ∆</w:t>
            </w:r>
          </w:p>
        </w:tc>
        <w:tc>
          <w:tcPr>
            <w:tcW w:w="140" w:type="dxa"/>
            <w:vAlign w:val="bottom"/>
            <w:tcBorders>
              <w:bottom w:val="single" w:sz="8" w:color="CCEEFF"/>
            </w:tcBorders>
          </w:tcPr>
          <w:p>
            <w:pPr>
              <w:spacing w:after="0"/>
              <w:rPr>
                <w:sz w:val="18"/>
                <w:szCs w:val="18"/>
                <w:color w:val="auto"/>
              </w:rPr>
            </w:pPr>
          </w:p>
        </w:tc>
      </w:tr>
      <w:tr>
        <w:trPr>
          <w:trHeight w:val="199"/>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96,323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38,372</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151.0%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238,567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133,333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78.9%</w:t>
            </w:r>
          </w:p>
        </w:tc>
      </w:tr>
      <w:tr>
        <w:trPr>
          <w:trHeight w:val="203"/>
        </w:trPr>
        <w:tc>
          <w:tcPr>
            <w:tcW w:w="390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23,764</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(3,899)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709.5%</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34,729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(28,301)</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222.7%</w:t>
            </w:r>
          </w:p>
        </w:tc>
      </w:tr>
      <w:tr>
        <w:trPr>
          <w:trHeight w:val="203"/>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(loss) margin</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34.9pt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-21.2%</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35.8pt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32,237</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4,876</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561.1%</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68,531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5,560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1132.6%</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margin</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20.8pt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24.5pt</w:t>
            </w:r>
          </w:p>
        </w:tc>
      </w:tr>
      <w:tr>
        <w:trPr>
          <w:trHeight w:val="203"/>
        </w:trPr>
        <w:tc>
          <w:tcPr>
            <w:tcW w:w="1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7"/>
        </w:trPr>
        <w:tc>
          <w:tcPr>
            <w:tcW w:w="39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Occupancy </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36.5pt</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44.2%</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19.2pt</w:t>
            </w:r>
          </w:p>
        </w:tc>
      </w:tr>
      <w:tr>
        <w:trPr>
          <w:trHeight w:val="203"/>
        </w:trPr>
        <w:tc>
          <w:tcPr>
            <w:tcW w:w="3900" w:type="dxa"/>
            <w:vAlign w:val="bottom"/>
            <w:gridSpan w:val="2"/>
          </w:tcPr>
          <w:p>
            <w:pPr>
              <w:ind w:left="180"/>
              <w:spacing w:after="0"/>
              <w:rPr>
                <w:sz w:val="20"/>
                <w:szCs w:val="20"/>
                <w:color w:val="auto"/>
              </w:rPr>
            </w:pPr>
            <w:r>
              <w:rPr>
                <w:rFonts w:ascii="Arial" w:cs="Arial" w:eastAsia="Arial" w:hAnsi="Arial"/>
                <w:sz w:val="16"/>
                <w:szCs w:val="16"/>
                <w:color w:val="auto"/>
              </w:rPr>
              <w:t>Average daily rate (ADR)</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254.37</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224.87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13.1%</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234.15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201.82</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16.0%</w:t>
            </w:r>
          </w:p>
        </w:tc>
      </w:tr>
      <w:tr>
        <w:trPr>
          <w:trHeight w:val="256"/>
        </w:trPr>
        <w:tc>
          <w:tcPr>
            <w:tcW w:w="39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RevPAR </w:t>
            </w:r>
            <w:r>
              <w:rPr>
                <w:rFonts w:ascii="Arial" w:cs="Arial" w:eastAsia="Arial" w:hAnsi="Arial"/>
                <w:sz w:val="29"/>
                <w:szCs w:val="29"/>
                <w:color w:val="auto"/>
                <w:vertAlign w:val="superscript"/>
              </w:rPr>
              <w:t>(1)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156.17</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178.8%</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103.47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50.40</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105.3%</w:t>
            </w:r>
          </w:p>
        </w:tc>
      </w:tr>
      <w:tr>
        <w:trPr>
          <w:trHeight w:val="390"/>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 xml:space="preserve">Total RevPAR </w:t>
            </w:r>
            <w:r>
              <w:rPr>
                <w:rFonts w:ascii="Arial" w:cs="Arial" w:eastAsia="Arial" w:hAnsi="Arial"/>
                <w:sz w:val="29"/>
                <w:szCs w:val="29"/>
                <w:color w:val="auto"/>
                <w:vertAlign w:val="superscript"/>
              </w:rPr>
              <w:t>(1)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362.53</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144.42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151.0%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226.32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126.14</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79.4%</w:t>
            </w:r>
          </w:p>
        </w:tc>
      </w:tr>
      <w:tr>
        <w:trPr>
          <w:trHeight w:val="298"/>
        </w:trPr>
        <w:tc>
          <w:tcPr>
            <w:tcW w:w="7620" w:type="dxa"/>
            <w:vAlign w:val="bottom"/>
            <w:gridSpan w:val="10"/>
          </w:tcPr>
          <w:p>
            <w:pPr>
              <w:spacing w:after="0"/>
              <w:rPr>
                <w:sz w:val="20"/>
                <w:szCs w:val="20"/>
                <w:color w:val="auto"/>
              </w:rPr>
            </w:pPr>
            <w:r>
              <w:rPr>
                <w:rFonts w:ascii="Arial" w:cs="Arial" w:eastAsia="Arial" w:hAnsi="Arial"/>
                <w:sz w:val="18"/>
                <w:szCs w:val="18"/>
                <w:color w:val="auto"/>
              </w:rPr>
              <w:t>(1) Calculation of hospitality performance metrics includes closed hotel room nights available.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1"/>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Gaylord Palms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3"/>
        </w:trPr>
        <w:tc>
          <w:tcPr>
            <w:tcW w:w="5140" w:type="dxa"/>
            <w:vAlign w:val="bottom"/>
            <w:gridSpan w:val="5"/>
          </w:tcPr>
          <w:p>
            <w:pPr>
              <w:spacing w:after="0"/>
              <w:rPr>
                <w:sz w:val="20"/>
                <w:szCs w:val="20"/>
                <w:color w:val="auto"/>
              </w:rPr>
            </w:pPr>
            <w:r>
              <w:rPr>
                <w:rFonts w:ascii="Arial" w:cs="Arial" w:eastAsia="Arial" w:hAnsi="Arial"/>
                <w:sz w:val="18"/>
                <w:szCs w:val="18"/>
                <w:color w:val="auto"/>
              </w:rPr>
              <w:t>($ in thousands, except ADR, RevPAR, and Total RevPAR)</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1"/>
              </w:rPr>
              <w:t>Twelve Months Ended</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 ∆</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 ∆</w:t>
            </w:r>
          </w:p>
        </w:tc>
        <w:tc>
          <w:tcPr>
            <w:tcW w:w="140" w:type="dxa"/>
            <w:vAlign w:val="bottom"/>
            <w:tcBorders>
              <w:bottom w:val="single" w:sz="8" w:color="CCEEFF"/>
            </w:tcBorders>
          </w:tcPr>
          <w:p>
            <w:pPr>
              <w:spacing w:after="0"/>
              <w:rPr>
                <w:sz w:val="18"/>
                <w:szCs w:val="18"/>
                <w:color w:val="auto"/>
              </w:rPr>
            </w:pPr>
          </w:p>
        </w:tc>
      </w:tr>
      <w:tr>
        <w:trPr>
          <w:trHeight w:val="199"/>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56,835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23,971</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139,130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77,819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78.8%</w:t>
            </w: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8,053</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(3,123)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357.9%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3,539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(22,245)</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115.9%</w:t>
            </w: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 margin</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27.2pt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-28.6%</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31.1pt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14,989</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2,218</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575.8%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29,789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(801)</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3819.0%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margin</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17.1pt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22.4pt</w:t>
            </w:r>
          </w:p>
        </w:tc>
      </w:tr>
      <w:tr>
        <w:trPr>
          <w:trHeight w:val="203"/>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7"/>
        </w:trPr>
        <w:tc>
          <w:tcPr>
            <w:tcW w:w="39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Occupancy </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26.9pt</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44.6%</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18.4pt</w:t>
            </w:r>
          </w:p>
        </w:tc>
      </w:tr>
      <w:tr>
        <w:trPr>
          <w:trHeight w:val="203"/>
        </w:trPr>
        <w:tc>
          <w:tcPr>
            <w:tcW w:w="3900" w:type="dxa"/>
            <w:vAlign w:val="bottom"/>
          </w:tcPr>
          <w:p>
            <w:pPr>
              <w:ind w:left="180"/>
              <w:spacing w:after="0"/>
              <w:rPr>
                <w:sz w:val="20"/>
                <w:szCs w:val="20"/>
                <w:color w:val="auto"/>
              </w:rPr>
            </w:pPr>
            <w:r>
              <w:rPr>
                <w:rFonts w:ascii="Arial" w:cs="Arial" w:eastAsia="Arial" w:hAnsi="Arial"/>
                <w:sz w:val="16"/>
                <w:szCs w:val="16"/>
                <w:color w:val="auto"/>
              </w:rPr>
              <w:t>Average daily rate (ADR)</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266.16</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216.34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23.0%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220.90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209.22</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56"/>
        </w:trPr>
        <w:tc>
          <w:tcPr>
            <w:tcW w:w="39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RevPAR </w:t>
            </w:r>
            <w:r>
              <w:rPr>
                <w:rFonts w:ascii="Arial" w:cs="Arial" w:eastAsia="Arial" w:hAnsi="Arial"/>
                <w:sz w:val="29"/>
                <w:szCs w:val="29"/>
                <w:color w:val="auto"/>
                <w:vertAlign w:val="superscript"/>
              </w:rPr>
              <w:t>(1)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143.60</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98.46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54.91</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79.3%</w:t>
            </w:r>
          </w:p>
        </w:tc>
      </w:tr>
      <w:tr>
        <w:trPr>
          <w:trHeight w:val="390"/>
        </w:trPr>
        <w:tc>
          <w:tcPr>
            <w:tcW w:w="3900" w:type="dxa"/>
            <w:vAlign w:val="bottom"/>
          </w:tcPr>
          <w:p>
            <w:pPr>
              <w:ind w:left="180"/>
              <w:spacing w:after="0"/>
              <w:rPr>
                <w:sz w:val="20"/>
                <w:szCs w:val="20"/>
                <w:color w:val="auto"/>
              </w:rPr>
            </w:pPr>
            <w:r>
              <w:rPr>
                <w:rFonts w:ascii="Arial" w:cs="Arial" w:eastAsia="Arial" w:hAnsi="Arial"/>
                <w:sz w:val="18"/>
                <w:szCs w:val="18"/>
                <w:color w:val="auto"/>
              </w:rPr>
              <w:t xml:space="preserve">Total RevPAR </w:t>
            </w:r>
            <w:r>
              <w:rPr>
                <w:rFonts w:ascii="Arial" w:cs="Arial" w:eastAsia="Arial" w:hAnsi="Arial"/>
                <w:sz w:val="29"/>
                <w:szCs w:val="29"/>
                <w:color w:val="auto"/>
                <w:vertAlign w:val="superscript"/>
              </w:rPr>
              <w:t>(1)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359.57</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184.01</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95.4%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238.19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150.15</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58.6%</w:t>
            </w:r>
          </w:p>
        </w:tc>
      </w:tr>
    </w:tbl>
    <w:p>
      <w:pPr>
        <w:spacing w:after="0" w:line="68" w:lineRule="exact"/>
        <w:rPr>
          <w:sz w:val="20"/>
          <w:szCs w:val="20"/>
          <w:color w:val="auto"/>
        </w:rPr>
      </w:pPr>
    </w:p>
    <w:p>
      <w:pPr>
        <w:jc w:val="right"/>
        <w:ind w:left="11160" w:hanging="11152"/>
        <w:spacing w:after="0" w:line="572" w:lineRule="auto"/>
        <w:tabs>
          <w:tab w:leader="none" w:pos="273" w:val="left"/>
        </w:tabs>
        <w:numPr>
          <w:ilvl w:val="0"/>
          <w:numId w:val="7"/>
        </w:numPr>
        <w:rPr>
          <w:rFonts w:ascii="Arial" w:cs="Arial" w:eastAsia="Arial" w:hAnsi="Arial"/>
          <w:sz w:val="16"/>
          <w:szCs w:val="16"/>
          <w:color w:val="auto"/>
        </w:rPr>
      </w:pPr>
      <w:r>
        <w:rPr>
          <w:rFonts w:ascii="Arial" w:cs="Arial" w:eastAsia="Arial" w:hAnsi="Arial"/>
          <w:sz w:val="16"/>
          <w:szCs w:val="16"/>
          <w:color w:val="auto"/>
        </w:rPr>
        <w:t>Calculation of hospitality performance metrics includes closed hotel room nights available; includes 302 expansion rooms completed during June 2021.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Gaylord Texan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 thousands, except ADR, RevPAR, and Total RevPAR)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1"/>
              </w:rPr>
              <w:t>Twelve Months Ended</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 ∆</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 ∆</w:t>
            </w:r>
          </w:p>
        </w:tc>
        <w:tc>
          <w:tcPr>
            <w:tcW w:w="140" w:type="dxa"/>
            <w:vAlign w:val="bottom"/>
            <w:tcBorders>
              <w:bottom w:val="single" w:sz="8" w:color="CCEEFF"/>
            </w:tcBorders>
          </w:tcPr>
          <w:p>
            <w:pPr>
              <w:spacing w:after="0"/>
              <w:rPr>
                <w:sz w:val="18"/>
                <w:szCs w:val="18"/>
                <w:color w:val="auto"/>
              </w:rPr>
            </w:pPr>
          </w:p>
        </w:tc>
      </w:tr>
      <w:tr>
        <w:trPr>
          <w:trHeight w:val="199"/>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71,563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30,117</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137.6%</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180,031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111,236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17,811</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(1,122)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1687.4%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28,948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(5,821)</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597.3%</w:t>
            </w: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 margin</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28.6pt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21.3pt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23,954</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5,243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356.9%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53,660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19,728</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172.0%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margin</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16.1pt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12.1pt</w:t>
            </w:r>
          </w:p>
        </w:tc>
      </w:tr>
      <w:tr>
        <w:trPr>
          <w:trHeight w:val="203"/>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7"/>
        </w:trPr>
        <w:tc>
          <w:tcPr>
            <w:tcW w:w="39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Occupancy </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62.6%</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33.8pt</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49.1%</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29.3%</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19.8pt</w:t>
            </w:r>
          </w:p>
        </w:tc>
      </w:tr>
      <w:tr>
        <w:trPr>
          <w:trHeight w:val="203"/>
        </w:trPr>
        <w:tc>
          <w:tcPr>
            <w:tcW w:w="3900" w:type="dxa"/>
            <w:vAlign w:val="bottom"/>
          </w:tcPr>
          <w:p>
            <w:pPr>
              <w:ind w:left="180"/>
              <w:spacing w:after="0"/>
              <w:rPr>
                <w:sz w:val="20"/>
                <w:szCs w:val="20"/>
                <w:color w:val="auto"/>
              </w:rPr>
            </w:pPr>
            <w:r>
              <w:rPr>
                <w:rFonts w:ascii="Arial" w:cs="Arial" w:eastAsia="Arial" w:hAnsi="Arial"/>
                <w:sz w:val="16"/>
                <w:szCs w:val="16"/>
                <w:color w:val="auto"/>
              </w:rPr>
              <w:t>Average daily rate (ADR)</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250.13</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219.82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13.8%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221.00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204.38</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8.1%</w:t>
            </w:r>
          </w:p>
        </w:tc>
      </w:tr>
      <w:tr>
        <w:trPr>
          <w:trHeight w:val="256"/>
        </w:trPr>
        <w:tc>
          <w:tcPr>
            <w:tcW w:w="39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RevPAR </w:t>
            </w:r>
            <w:r>
              <w:rPr>
                <w:rFonts w:ascii="Arial" w:cs="Arial" w:eastAsia="Arial" w:hAnsi="Arial"/>
                <w:sz w:val="29"/>
                <w:szCs w:val="29"/>
                <w:color w:val="auto"/>
                <w:vertAlign w:val="superscript"/>
              </w:rPr>
              <w:t>(1)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156.51</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146.9%</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108.52</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59.97</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81.0%</w:t>
            </w:r>
          </w:p>
        </w:tc>
      </w:tr>
      <w:tr>
        <w:trPr>
          <w:trHeight w:val="390"/>
        </w:trPr>
        <w:tc>
          <w:tcPr>
            <w:tcW w:w="3900" w:type="dxa"/>
            <w:vAlign w:val="bottom"/>
          </w:tcPr>
          <w:p>
            <w:pPr>
              <w:ind w:left="180"/>
              <w:spacing w:after="0"/>
              <w:rPr>
                <w:sz w:val="20"/>
                <w:szCs w:val="20"/>
                <w:color w:val="auto"/>
              </w:rPr>
            </w:pPr>
            <w:r>
              <w:rPr>
                <w:rFonts w:ascii="Arial" w:cs="Arial" w:eastAsia="Arial" w:hAnsi="Arial"/>
                <w:sz w:val="18"/>
                <w:szCs w:val="18"/>
                <w:color w:val="auto"/>
              </w:rPr>
              <w:t xml:space="preserve">Total RevPAR </w:t>
            </w:r>
            <w:r>
              <w:rPr>
                <w:rFonts w:ascii="Arial" w:cs="Arial" w:eastAsia="Arial" w:hAnsi="Arial"/>
                <w:sz w:val="29"/>
                <w:szCs w:val="29"/>
                <w:color w:val="auto"/>
                <w:vertAlign w:val="superscript"/>
              </w:rPr>
              <w:t>(1)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428.81</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180.46</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137.6%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271.91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167.54</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62.3%</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(1) Calculation of hospitality performance metrics includes closed hotel room nights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Gaylord National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 thousands, except ADR, RevPAR, and Total RevPAR)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1"/>
              </w:rPr>
              <w:t>Twelve Months Ended</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57"/>
              <w:spacing w:after="0"/>
              <w:rPr>
                <w:sz w:val="20"/>
                <w:szCs w:val="20"/>
                <w:color w:val="auto"/>
              </w:rPr>
            </w:pPr>
            <w:r>
              <w:rPr>
                <w:rFonts w:ascii="Arial" w:cs="Arial" w:eastAsia="Arial" w:hAnsi="Arial"/>
                <w:sz w:val="16"/>
                <w:szCs w:val="16"/>
                <w:b w:val="1"/>
                <w:bCs w:val="1"/>
                <w:color w:val="auto"/>
              </w:rPr>
              <w:t>% ∆</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 ∆</w:t>
            </w:r>
          </w:p>
        </w:tc>
        <w:tc>
          <w:tcPr>
            <w:tcW w:w="140" w:type="dxa"/>
            <w:vAlign w:val="bottom"/>
            <w:tcBorders>
              <w:bottom w:val="single" w:sz="8" w:color="CCEEFF"/>
            </w:tcBorders>
          </w:tcPr>
          <w:p>
            <w:pPr>
              <w:spacing w:after="0"/>
              <w:rPr>
                <w:sz w:val="18"/>
                <w:szCs w:val="18"/>
                <w:color w:val="auto"/>
              </w:rPr>
            </w:pPr>
          </w:p>
        </w:tc>
      </w:tr>
      <w:tr>
        <w:trPr>
          <w:trHeight w:val="239"/>
        </w:trPr>
        <w:tc>
          <w:tcPr>
            <w:tcW w:w="390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 xml:space="preserve">Revenue </w:t>
            </w:r>
            <w:r>
              <w:rPr>
                <w:rFonts w:ascii="Arial" w:cs="Arial" w:eastAsia="Arial" w:hAnsi="Arial"/>
                <w:sz w:val="27"/>
                <w:szCs w:val="27"/>
                <w:color w:val="auto"/>
                <w:vertAlign w:val="superscript"/>
              </w:rPr>
              <w:t>(1)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39,843</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1922.5%</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79,419</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52,026</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8"/>
              </w:rPr>
              <w:t>52.7%</w:t>
            </w: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Operating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(9,340)</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(15,110)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38.2%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(47,448)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(94,908)</w:t>
            </w:r>
          </w:p>
        </w:tc>
        <w:tc>
          <w:tcPr>
            <w:tcW w:w="200" w:type="dxa"/>
            <w:vAlign w:val="bottom"/>
          </w:tcPr>
          <w:p>
            <w:pPr>
              <w:spacing w:after="0"/>
              <w:rPr>
                <w:sz w:val="17"/>
                <w:szCs w:val="17"/>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w w:val="88"/>
              </w:rPr>
              <w:t>50.0%</w:t>
            </w: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Operating loss margin</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-767.0%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743.6pt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-59.7%</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-182.4%</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122.7pt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265</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(6,711)</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103.9%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(11,484)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(25,445)</w:t>
            </w:r>
          </w:p>
        </w:tc>
        <w:tc>
          <w:tcPr>
            <w:tcW w:w="2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w w:val="88"/>
              </w:rPr>
              <w:t>54.9%</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margin</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-340.7%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341.4pt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9"/>
              </w:rPr>
              <w:t>34.4pt</w:t>
            </w:r>
          </w:p>
        </w:tc>
      </w:tr>
      <w:tr>
        <w:trPr>
          <w:trHeight w:val="203"/>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7"/>
        </w:trPr>
        <w:tc>
          <w:tcPr>
            <w:tcW w:w="39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Occupancy </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31.6pt</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6.2pt</w:t>
            </w:r>
          </w:p>
        </w:tc>
      </w:tr>
      <w:tr>
        <w:trPr>
          <w:trHeight w:val="216"/>
        </w:trPr>
        <w:tc>
          <w:tcPr>
            <w:tcW w:w="3900" w:type="dxa"/>
            <w:vAlign w:val="bottom"/>
          </w:tcPr>
          <w:p>
            <w:pPr>
              <w:ind w:left="180"/>
              <w:spacing w:after="0"/>
              <w:rPr>
                <w:sz w:val="20"/>
                <w:szCs w:val="20"/>
                <w:color w:val="auto"/>
              </w:rPr>
            </w:pPr>
            <w:r>
              <w:rPr>
                <w:rFonts w:ascii="Arial" w:cs="Arial" w:eastAsia="Arial" w:hAnsi="Arial"/>
                <w:sz w:val="16"/>
                <w:szCs w:val="16"/>
                <w:color w:val="auto"/>
              </w:rPr>
              <w:t>Average daily rate (ADR)</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258.49</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0.00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230.12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207.12</w:t>
            </w:r>
          </w:p>
        </w:tc>
        <w:tc>
          <w:tcPr>
            <w:tcW w:w="2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w w:val="88"/>
              </w:rPr>
              <w:t>11.1%</w:t>
            </w:r>
          </w:p>
        </w:tc>
      </w:tr>
      <w:tr>
        <w:trPr>
          <w:trHeight w:val="256"/>
        </w:trPr>
        <w:tc>
          <w:tcPr>
            <w:tcW w:w="39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RevPAR </w:t>
            </w:r>
            <w:r>
              <w:rPr>
                <w:rFonts w:ascii="Arial" w:cs="Arial" w:eastAsia="Arial" w:hAnsi="Arial"/>
                <w:sz w:val="29"/>
                <w:szCs w:val="29"/>
                <w:color w:val="auto"/>
                <w:vertAlign w:val="superscript"/>
              </w:rPr>
              <w:t>(2)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81.76</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43.93</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26.74</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8"/>
              </w:rPr>
              <w:t>64.3%</w:t>
            </w:r>
          </w:p>
        </w:tc>
      </w:tr>
      <w:tr>
        <w:trPr>
          <w:trHeight w:val="390"/>
        </w:trPr>
        <w:tc>
          <w:tcPr>
            <w:tcW w:w="3900" w:type="dxa"/>
            <w:vAlign w:val="bottom"/>
          </w:tcPr>
          <w:p>
            <w:pPr>
              <w:ind w:left="180"/>
              <w:spacing w:after="0"/>
              <w:rPr>
                <w:sz w:val="20"/>
                <w:szCs w:val="20"/>
                <w:color w:val="auto"/>
              </w:rPr>
            </w:pPr>
            <w:r>
              <w:rPr>
                <w:rFonts w:ascii="Arial" w:cs="Arial" w:eastAsia="Arial" w:hAnsi="Arial"/>
                <w:sz w:val="18"/>
                <w:szCs w:val="18"/>
                <w:color w:val="auto"/>
              </w:rPr>
              <w:t xml:space="preserve">Total RevPAR </w:t>
            </w:r>
            <w:r>
              <w:rPr>
                <w:rFonts w:ascii="Arial" w:cs="Arial" w:eastAsia="Arial" w:hAnsi="Arial"/>
                <w:sz w:val="29"/>
                <w:szCs w:val="29"/>
                <w:color w:val="auto"/>
                <w:vertAlign w:val="superscript"/>
              </w:rPr>
              <w:t>(2)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216.98</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10.73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1922.2%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109.01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71.22</w:t>
            </w:r>
          </w:p>
        </w:tc>
        <w:tc>
          <w:tcPr>
            <w:tcW w:w="200" w:type="dxa"/>
            <w:vAlign w:val="bottom"/>
          </w:tcPr>
          <w:p>
            <w:pPr>
              <w:spacing w:after="0"/>
              <w:rPr>
                <w:sz w:val="24"/>
                <w:szCs w:val="24"/>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w w:val="88"/>
              </w:rPr>
              <w:t>53.1%</w:t>
            </w:r>
          </w:p>
        </w:tc>
      </w:tr>
    </w:tbl>
    <w:p>
      <w:pPr>
        <w:spacing w:after="0" w:line="68"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for the three months ended December 31, 2020 consisted primarily of attrition and cancellation fees.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Calculation of hospitality performance metrics includes closed hotel room nights available.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Gaylord Rockies</w:t>
            </w: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4960" w:type="dxa"/>
            <w:vAlign w:val="bottom"/>
            <w:gridSpan w:val="5"/>
          </w:tcPr>
          <w:p>
            <w:pPr>
              <w:spacing w:after="0"/>
              <w:rPr>
                <w:sz w:val="20"/>
                <w:szCs w:val="20"/>
                <w:color w:val="auto"/>
              </w:rPr>
            </w:pPr>
            <w:r>
              <w:rPr>
                <w:rFonts w:ascii="Arial" w:cs="Arial" w:eastAsia="Arial" w:hAnsi="Arial"/>
                <w:sz w:val="18"/>
                <w:szCs w:val="18"/>
                <w:color w:val="auto"/>
              </w:rPr>
              <w:t>($ in thousands, except ADR, RevPAR, and Total RevPAR)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1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7"/>
          </w:tcPr>
          <w:p>
            <w:pPr>
              <w:jc w:val="center"/>
              <w:ind w:left="530"/>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7"/>
          </w:tcPr>
          <w:p>
            <w:pPr>
              <w:jc w:val="center"/>
              <w:ind w:left="490"/>
              <w:spacing w:after="0"/>
              <w:rPr>
                <w:sz w:val="20"/>
                <w:szCs w:val="20"/>
                <w:color w:val="auto"/>
              </w:rPr>
            </w:pPr>
            <w:r>
              <w:rPr>
                <w:rFonts w:ascii="Arial" w:cs="Arial" w:eastAsia="Arial" w:hAnsi="Arial"/>
                <w:sz w:val="18"/>
                <w:szCs w:val="18"/>
                <w:b w:val="1"/>
                <w:bCs w:val="1"/>
                <w:color w:val="auto"/>
                <w:w w:val="90"/>
              </w:rPr>
              <w:t>Twelve Months Ended</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30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bottom w:val="single" w:sz="8" w:color="CCEEFF"/>
            </w:tcBorders>
          </w:tcPr>
          <w:p>
            <w:pPr>
              <w:spacing w:after="0"/>
              <w:rPr>
                <w:sz w:val="19"/>
                <w:szCs w:val="19"/>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60.5%</w:t>
            </w:r>
          </w:p>
        </w:tc>
      </w:tr>
      <w:tr>
        <w:trPr>
          <w:trHeight w:val="256"/>
        </w:trPr>
        <w:tc>
          <w:tcPr>
            <w:tcW w:w="37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Operating loss </w:t>
            </w:r>
            <w:r>
              <w:rPr>
                <w:rFonts w:ascii="Arial" w:cs="Arial" w:eastAsia="Arial" w:hAnsi="Arial"/>
                <w:sz w:val="29"/>
                <w:szCs w:val="29"/>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(12,334)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(25,615)</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51.8%</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(56,034)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(79,469)</w:t>
            </w:r>
          </w:p>
        </w:tc>
        <w:tc>
          <w:tcPr>
            <w:tcW w:w="200" w:type="dxa"/>
            <w:vAlign w:val="bottom"/>
          </w:tcPr>
          <w:p>
            <w:pPr>
              <w:spacing w:after="0"/>
              <w:rPr>
                <w:sz w:val="22"/>
                <w:szCs w:val="22"/>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w w:val="90"/>
              </w:rPr>
              <w:t>29.5%</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margin</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133.7pt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1"/>
              </w:rPr>
              <w:t>52.6pt</w:t>
            </w:r>
          </w:p>
        </w:tc>
      </w:tr>
      <w:tr>
        <w:trPr>
          <w:trHeight w:val="257"/>
        </w:trPr>
        <w:tc>
          <w:tcPr>
            <w:tcW w:w="3780" w:type="dxa"/>
            <w:vAlign w:val="bottom"/>
            <w:gridSpan w:val="2"/>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w:t>
            </w:r>
            <w:r>
              <w:rPr>
                <w:rFonts w:ascii="Arial" w:cs="Arial" w:eastAsia="Arial" w:hAnsi="Arial"/>
                <w:sz w:val="29"/>
                <w:szCs w:val="29"/>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10,375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(2,979)</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448.3%</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34,728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11,064</w:t>
            </w:r>
          </w:p>
        </w:tc>
        <w:tc>
          <w:tcPr>
            <w:tcW w:w="200" w:type="dxa"/>
            <w:vAlign w:val="bottom"/>
          </w:tcPr>
          <w:p>
            <w:pPr>
              <w:spacing w:after="0"/>
              <w:rPr>
                <w:sz w:val="22"/>
                <w:szCs w:val="22"/>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w w:val="88"/>
              </w:rPr>
              <w:t>213.9%</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margin</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37.3pt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1"/>
              </w:rPr>
              <w:t>12.4pt</w:t>
            </w:r>
          </w:p>
        </w:tc>
      </w:tr>
      <w:tr>
        <w:trPr>
          <w:trHeight w:val="216"/>
        </w:trPr>
        <w:tc>
          <w:tcPr>
            <w:tcW w:w="1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37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Occupancy </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36.9pt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1"/>
              </w:rPr>
              <w:t>16.3pt</w:t>
            </w:r>
          </w:p>
        </w:tc>
      </w:tr>
      <w:tr>
        <w:trPr>
          <w:trHeight w:val="216"/>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Average daily rate (ADR)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224.13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175.12</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215.17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192.89</w:t>
            </w:r>
          </w:p>
        </w:tc>
        <w:tc>
          <w:tcPr>
            <w:tcW w:w="2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w w:val="90"/>
              </w:rPr>
              <w:t>11.6%</w:t>
            </w:r>
          </w:p>
        </w:tc>
      </w:tr>
      <w:tr>
        <w:trPr>
          <w:trHeight w:val="256"/>
        </w:trPr>
        <w:tc>
          <w:tcPr>
            <w:tcW w:w="37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RevPAR </w:t>
            </w:r>
            <w:r>
              <w:rPr>
                <w:rFonts w:ascii="Arial" w:cs="Arial" w:eastAsia="Arial" w:hAnsi="Arial"/>
                <w:sz w:val="29"/>
                <w:szCs w:val="29"/>
                <w:color w:val="auto"/>
                <w:vertAlign w:val="superscript"/>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121.06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29.95</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304.2%</w:t>
            </w:r>
          </w:p>
        </w:tc>
        <w:tc>
          <w:tcPr>
            <w:tcW w:w="2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45.58</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88.5%</w:t>
            </w:r>
          </w:p>
        </w:tc>
      </w:tr>
      <w:tr>
        <w:trPr>
          <w:trHeight w:val="390"/>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 xml:space="preserve">Total RevPAR </w:t>
            </w:r>
            <w:r>
              <w:rPr>
                <w:rFonts w:ascii="Arial" w:cs="Arial" w:eastAsia="Arial" w:hAnsi="Arial"/>
                <w:sz w:val="29"/>
                <w:szCs w:val="29"/>
                <w:color w:val="auto"/>
                <w:vertAlign w:val="superscript"/>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394.12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118.62</w:t>
            </w:r>
          </w:p>
        </w:tc>
        <w:tc>
          <w:tcPr>
            <w:tcW w:w="18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232.3%</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248.13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154.21</w:t>
            </w:r>
          </w:p>
        </w:tc>
        <w:tc>
          <w:tcPr>
            <w:tcW w:w="200" w:type="dxa"/>
            <w:vAlign w:val="bottom"/>
          </w:tcPr>
          <w:p>
            <w:pPr>
              <w:spacing w:after="0"/>
              <w:rPr>
                <w:sz w:val="24"/>
                <w:szCs w:val="24"/>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w w:val="90"/>
              </w:rPr>
              <w:t>60.9%</w:t>
            </w:r>
          </w:p>
        </w:tc>
      </w:tr>
    </w:tbl>
    <w:p>
      <w:pPr>
        <w:spacing w:after="0" w:line="68" w:lineRule="exact"/>
        <w:rPr>
          <w:sz w:val="20"/>
          <w:szCs w:val="20"/>
          <w:color w:val="auto"/>
        </w:rPr>
      </w:pPr>
    </w:p>
    <w:p>
      <w:pPr>
        <w:ind w:left="340" w:hanging="332"/>
        <w:spacing w:after="0" w:line="271"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Operating loss and Adjusted EBITDAre for Gaylord Rockies for the twelve months ended December 31, 2021 exclude forgiven asset management fees previously owed to RHP of $0.3 million. Operating loss and Adjusted EBITDAre for Gaylord Rockies for the three months and twelve months ended December 31, 2020 exclude asset management fees owed to RHP of $0.2 million and $0.8 million, respectively.</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Calculation of hospitality performance metrics includes closed hotel room nights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Entertainment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twelve months ended December 31, 2021, and 2020, the Company reported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 in thousands)</w:t>
            </w:r>
          </w:p>
        </w:tc>
        <w:tc>
          <w:tcPr>
            <w:tcW w:w="200" w:type="dxa"/>
            <w:vAlign w:val="bottom"/>
          </w:tcPr>
          <w:p>
            <w:pPr>
              <w:spacing w:after="0"/>
              <w:rPr>
                <w:sz w:val="19"/>
                <w:szCs w:val="19"/>
                <w:color w:val="auto"/>
              </w:rPr>
            </w:pPr>
          </w:p>
        </w:tc>
        <w:tc>
          <w:tcPr>
            <w:tcW w:w="2500" w:type="dxa"/>
            <w:vAlign w:val="bottom"/>
            <w:gridSpan w:val="7"/>
          </w:tcPr>
          <w:p>
            <w:pPr>
              <w:jc w:val="center"/>
              <w:ind w:left="530"/>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7"/>
          </w:tcPr>
          <w:p>
            <w:pPr>
              <w:jc w:val="center"/>
              <w:ind w:left="490"/>
              <w:spacing w:after="0"/>
              <w:rPr>
                <w:sz w:val="20"/>
                <w:szCs w:val="20"/>
                <w:color w:val="auto"/>
              </w:rPr>
            </w:pPr>
            <w:r>
              <w:rPr>
                <w:rFonts w:ascii="Arial" w:cs="Arial" w:eastAsia="Arial" w:hAnsi="Arial"/>
                <w:sz w:val="18"/>
                <w:szCs w:val="18"/>
                <w:b w:val="1"/>
                <w:bCs w:val="1"/>
                <w:color w:val="auto"/>
                <w:w w:val="90"/>
              </w:rPr>
              <w:t>Twelve Months Ended</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bottom w:val="single" w:sz="8" w:color="CCEEFF"/>
            </w:tcBorders>
          </w:tcPr>
          <w:p>
            <w:pPr>
              <w:spacing w:after="0"/>
              <w:rPr>
                <w:sz w:val="19"/>
                <w:szCs w:val="19"/>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w:t>
            </w:r>
          </w:p>
        </w:tc>
      </w:tr>
      <w:tr>
        <w:trPr>
          <w:trHeight w:val="256"/>
        </w:trPr>
        <w:tc>
          <w:tcPr>
            <w:tcW w:w="3780" w:type="dxa"/>
            <w:vAlign w:val="bottom"/>
          </w:tcPr>
          <w:p>
            <w:pPr>
              <w:spacing w:after="0" w:line="256"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9"/>
                <w:szCs w:val="29"/>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10,305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(7,624)</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235.2%</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20,376</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(35,608)</w:t>
            </w:r>
          </w:p>
        </w:tc>
        <w:tc>
          <w:tcPr>
            <w:tcW w:w="2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157.2%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margin</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71.9pt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74.2pt</w:t>
            </w:r>
          </w:p>
        </w:tc>
      </w:tr>
      <w:tr>
        <w:trPr>
          <w:trHeight w:val="256"/>
        </w:trPr>
        <w:tc>
          <w:tcPr>
            <w:tcW w:w="3780" w:type="dxa"/>
            <w:vAlign w:val="bottom"/>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29"/>
                <w:szCs w:val="29"/>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11,946</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(4,292)</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378.3%</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28,854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(24,377)</w:t>
            </w:r>
          </w:p>
        </w:tc>
        <w:tc>
          <w:tcPr>
            <w:tcW w:w="2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218.4%</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margin</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51.8pt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60.6pt</w:t>
            </w:r>
          </w:p>
        </w:tc>
      </w:tr>
    </w:tbl>
    <w:p>
      <w:pPr>
        <w:spacing w:after="0" w:line="229" w:lineRule="exact"/>
        <w:rPr>
          <w:sz w:val="20"/>
          <w:szCs w:val="20"/>
          <w:color w:val="auto"/>
        </w:rPr>
      </w:pPr>
    </w:p>
    <w:p>
      <w:pPr>
        <w:ind w:left="340" w:right="12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approximately $0.5 million and $6.9 million in COVID-19 related costs, which are primarily employment costs, in the three months and twelve months ended December 31, 2020, respectively, partially offset by $0.5 million and $2.3 million in payroll tax credits provided by the CARES Act in the three months and twelve months ended December 31, 2020, respectively.</w:t>
      </w:r>
    </w:p>
    <w:p>
      <w:pPr>
        <w:spacing w:after="0" w:line="18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Reed continued, “Demand for our unique live entertainment offerings was robust throughout 2021, and we were pleased to end the year ahead of our internal expectations. Despite pandemic uncertainty, we doubled down on our strategy to communicate and connect with country lifestyle consumers, both digitally through our content and physically through unique assets in tourist-driven markets. Our previously announced Block 21 acquisition is on track to close by the end of Q1 2022, subject to the timely satisfaction or waiver of various closing conditions, including the consent of the loan servicer to the assumption of the existing mortgage loan, the consent of the hotel operator, an affiliate of Marriott, to the assumption of the hotel operating agreement by an affiliate of the Company, the absence of a material adverse effect, and other customary closing conditions. Our planned Ole Red Las Vegas expansion remains on pace for an expected late 2023 opening.”</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Corporate and Other Segment</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7880" w:type="dxa"/>
            <w:vAlign w:val="bottom"/>
            <w:gridSpan w:val="13"/>
          </w:tcPr>
          <w:p>
            <w:pPr>
              <w:spacing w:after="0"/>
              <w:rPr>
                <w:sz w:val="20"/>
                <w:szCs w:val="20"/>
                <w:color w:val="auto"/>
              </w:rPr>
            </w:pPr>
            <w:r>
              <w:rPr>
                <w:rFonts w:ascii="Arial" w:cs="Arial" w:eastAsia="Arial" w:hAnsi="Arial"/>
                <w:sz w:val="18"/>
                <w:szCs w:val="18"/>
                <w:color w:val="auto"/>
                <w:w w:val="91"/>
              </w:rPr>
              <w:t>For the three and twelve months ended December 31, 2021, and 2020, the Company reported the following:</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394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4"/>
                <w:szCs w:val="24"/>
                <w:color w:val="auto"/>
              </w:rPr>
            </w:pPr>
          </w:p>
        </w:tc>
        <w:tc>
          <w:tcPr>
            <w:tcW w:w="2440" w:type="dxa"/>
            <w:vAlign w:val="bottom"/>
            <w:gridSpan w:val="7"/>
          </w:tcPr>
          <w:p>
            <w:pPr>
              <w:jc w:val="center"/>
              <w:ind w:left="470"/>
              <w:spacing w:after="0"/>
              <w:rPr>
                <w:sz w:val="20"/>
                <w:szCs w:val="20"/>
                <w:color w:val="auto"/>
              </w:rPr>
            </w:pPr>
            <w:r>
              <w:rPr>
                <w:rFonts w:ascii="Arial" w:cs="Arial" w:eastAsia="Arial" w:hAnsi="Arial"/>
                <w:sz w:val="18"/>
                <w:szCs w:val="18"/>
                <w:b w:val="1"/>
                <w:bCs w:val="1"/>
                <w:color w:val="auto"/>
                <w:w w:val="92"/>
              </w:rPr>
              <w:t>Three Months Ended</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90"/>
              </w:rPr>
              <w:t>Twelve Months Ended</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 ∆</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bottom w:val="single" w:sz="8" w:color="CCEEFF"/>
            </w:tcBorders>
          </w:tcPr>
          <w:p>
            <w:pPr>
              <w:spacing w:after="0"/>
              <w:rPr>
                <w:sz w:val="18"/>
                <w:szCs w:val="18"/>
                <w:color w:val="auto"/>
              </w:rPr>
            </w:pPr>
          </w:p>
        </w:tc>
      </w:tr>
      <w:tr>
        <w:trPr>
          <w:trHeight w:val="236"/>
        </w:trPr>
        <w:tc>
          <w:tcPr>
            <w:tcW w:w="394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Operating loss</w:t>
            </w:r>
            <w:r>
              <w:rPr>
                <w:rFonts w:ascii="Arial" w:cs="Arial" w:eastAsia="Arial" w:hAnsi="Arial"/>
                <w:sz w:val="27"/>
                <w:szCs w:val="27"/>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(6,667)</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(40,624)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(31,433)</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r>
      <w:tr>
        <w:trPr>
          <w:trHeight w:val="390"/>
        </w:trPr>
        <w:tc>
          <w:tcPr>
            <w:tcW w:w="3940" w:type="dxa"/>
            <w:vAlign w:val="bottom"/>
            <w:gridSpan w:val="2"/>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29"/>
                <w:szCs w:val="29"/>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(8,648)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(4,132)</w:t>
            </w:r>
          </w:p>
        </w:tc>
        <w:tc>
          <w:tcPr>
            <w:tcW w:w="2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(27,163)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(22,603)</w:t>
            </w: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r>
    </w:tbl>
    <w:p>
      <w:pPr>
        <w:spacing w:after="0" w:line="68" w:lineRule="exact"/>
        <w:rPr>
          <w:sz w:val="20"/>
          <w:szCs w:val="20"/>
          <w:color w:val="auto"/>
        </w:rPr>
      </w:pPr>
    </w:p>
    <w:p>
      <w:pPr>
        <w:ind w:left="340" w:right="6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COVID-19 related costs were approximately $0.6 million during the twelve months ended December 31, 2020, and consisted primarily of wages and benefits costs for furloughed employees.</w:t>
      </w:r>
    </w:p>
    <w:p>
      <w:pPr>
        <w:spacing w:after="0" w:line="17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increase in Corporate and Other Segment Operating Loss and decrease in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for the 2021 periods resulted from an increase in administrative and employment costs associated with the hiring of additional employees and increased wages to support the Company’s growth.</w:t>
      </w:r>
    </w:p>
    <w:p>
      <w:pPr>
        <w:spacing w:after="0" w:line="124"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Reed concluded, “As we approach the two-year anniversary of the near-total shutdown of our businesses due to the COVID-19 pandemic, I am pleased to see that our team remains focused on the future. We have continued to invest in our people and portfolio, and we will emerge a stronger and more resilient company than ever before. I want to thank our management team, our employees, our artists, and our partners at Marriott for the tremendous effort in 2021. We enter 2022 in a position of strength, and this one-of-a-kind business is well-positioned for the future.</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 am excited to welcome Michael Roth back to our Board after a one-year absence. He is a trusted advisor and brings both experience and institutional knowledge of our Company at an important time as we chart the next phase of our growth. I am equally excited to have Mark Fioravanti join our Board. Mark has played a central role in creating the strategic direction of this company for nearly 20 years. Under his prudent financial leadership, we have created a thriving business with a healthy balance sheet that has allowed us to invest in our future and create tremendous shareholder value. Mark has been a key advisor to me and our Board for many years. I have great confidence that his direct influence will serve us well as we continue our next phases of growth in the years ahead.”</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Balance Sheet/Liquidity Update</w:t>
      </w:r>
    </w:p>
    <w:p>
      <w:pPr>
        <w:spacing w:after="0" w:line="22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As of December 31, 2021, the Company had total debt outstanding of $2,936.8 million, net of unamortized deferred financing costs, and unrestricted cash of $140.7 million. As of December 31, 2021, $190.0 million was drawn under the revolving credit line of the Company’s credit facility, and the lending banks had issued $0.2 million in letters of credit, which left $509.8 million of availability for borrowing under the credit facility.</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May 27, 2021, the Company entered into an at-the-market (ATM) equity distribution agreement that allows the Company to issue and sell up to 4 million shares of stock through sales agents. No shares were issued under the ATM agreement during the three and twelve months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Call Information</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Ryman Hospitality Properties will hold a conference call to discuss this release tomorrow, February 25, 2022, at 10 a.m. EST. Investors can listen to the conference call over the Internet at www.rymanhp.com. To listen to the live call, please go to the Investor Relations section of the website (Investor Relations/Presentations, Earnings and Webcasts) at least 15 minutes prior to the call to register and download any necessary audio software. For those who cannot listen to the live broadcast, a replay will be available shortly after the call and will be available for at least 30 days.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Ryman Hospitality Properties, Inc.</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Ryman Hospitality Properties, Inc. (NYSE: RHP) is a leading lodging and hospitality real estate investment trust that specializes in upscale convention center resorts and country music entertainment experiences. The Company’s core holdings, Gaylord Opryland Resort &amp; Convention Center, Gaylord Palms Resort &amp; Convention Center, Gaylord Texan Resort &amp; Convention Center, Gaylord National Resort &amp; Convention Center, and Gaylord Rockies Resort &amp; Convention Center are five of the top 10 largest non-gaming convention center hotels in the United States based on total indoor meeting space. These convention center resorts operate under the Gaylord Hotels brand and are managed by Marriott International. The Company also owns two adjacent ancillary hotels and a small number of attractions managed by Marriott International for a combined total of 10,412 rooms and more than 2.7 million square feet of total indoor and outdoor meeting space in top convention and leisure destinations across the country. The Company’s Entertainment segment includes a growing collection of iconic and emerging country music brands operated by the Company, including the Grand Ole Opry; Ryman Auditorium; WSM 650 AM; Ole Red and a 50% interest in Circle, a country lifestyle media network the Company owns in a joint venture with Gray Television; as well as other Nashville-area attractions managed by Marriott. The Company operates its Entertainment segment as part of a taxable REIT subsidiary. Visit RymanHP.com for more information.</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press release contains statements as to the Company’s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future performance of our business, the impact of COVID-19 on travel, transient and group demand, the effects of COVID-19 on our results of operations, rebooking efforts, our liquidity, recovery of group business to pre-pandemic levels, anticipated business levels and anticipated financial results for the Company during future periods, the pending acquisition of Block 21, the Company’s expectations for Block 21 upon the closing of the transaction, and other business or operational issues. These forward-looking statements are subject to risks and uncertainties that could cause actual results to differ materially from the statements made. These include the risks and uncertainties associated with the COVID-19 pandemic, including the effects of the COVID-19 pandemic on us and the hospitality and entertainment industries generally, the effects of the COVID-19 pandemic on the demand for travel, transient and group business (including government-imposed restrictions), levels of consumer confidence in the safety of travel and group gathering as a result of COVID-19, the duration and severity of the COVID-19 pandemic in the United States and the pace of recovery following the COVID-19 pandemic, the duration and severity of the COVID-19 pandemic in the markets where our assets are located, governmental restrictions on our businesses, economic conditions affecting the hospitality business generally, the geographic concentration of the Company’s hotel properties, business levels at the Company’s hotels, the Company’s ability to remain qualified as a REIT for federal income tax purposes, the Company’s ability to execute its strategic goals as a REIT, the Company’s ability to generate cash flows to support dividends, the suspension of our dividend and our dividend policy, including the frequency and amount of any dividend we may pay, the Company’s ability to borrow funds pursuant to its credit agreement, the occurrence of any event, change or other circumstance that could delay the closing of the Block 21 acquisition, or result in the termination of the agreement for the Block 21 acquisition, adverse effects on the Company’s common stock because of the failure to complete the Block 21 acquisition, and the Company’s ability to otherwise obtain cash to fund the Block 21 acquisition. Other factors that could cause operating and financial results to differ are described in the filings made from time to time by the Company with the U.S. Securities and Exchange Commission (SEC) and include the risk factors and other risks and uncertainties described in the Company’s Annual Report on Form 10-K for the fiscal year ended December 31, 2020, and its Quarterly Reports on Form 10-Q and subsequent filings. The Company does not undertake any obligation to release publicly any revisions to forward-looking statements made by it to reflect events or circumstances occurring after the date hereof or the occurrence of unanticipated events.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This release should be read in conjunction with the consolidated financial statements and notes thereto included in our most recent annual report on Form 10-K. Copies of our reports are available on our website at no expense at www.rymanhp.com and through the SEC’s Electronic Data Gathering Analysis and Retrieval System (“EDGAR”) at www.sec.gov.</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Calculation of RevPAR, Total RevPAR, and Occupancy</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calculate revenue per available room (“RevPAR”) for our hotels by dividing room revenue by room nights available to guests for the period. Room nights available to guests include nights the hotels are closed. We calculate total revenue per available room (“Total RevPAR”) for our hotels by dividing the sum of room revenue, food &amp; beverage, and other ancillary services revenue by room nights available to guests for the period. Rooms out of service for renovation are included in room nights available. For the three and twelve months ended December 31, 2021, and 2020, the calculation of RevPAR and Total RevPAR in our tabular presentations has not been changed as a result of the COVID-19 pandemic and the resulting hotel closures and is consistent with prior periods. The closure of our Gaylord Hotel properties, including Gaylord National, which reopened July 1, 2021, and reopening under capacity restrictions has resulted in the significant decrease in performance reflected in these metrics for the three and twelve months ended December 31, 2021, and 2020 as compared to historical periods. Occupancy figures reflect an additional 302 rooms available at Gaylord Palms beginning in June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Calculation of GAAP Margin Figures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calculate Net Income available to common shareholders margin by dividing GAAP consolidated Net Income available to common shareholders by GAAP consolidated Total Revenue. We calculate consolidated, segment or property-level Operating Income Margin by dividing consolidated, segment or property-level GAAP Operating Income by consolidated, segment or property-level GAAP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present the following non-GAAP financial measures we believe are useful to investors as key measures of our operating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Adjusted EBITDAre and Adjusted EBITDAre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Excluding Noncontrolling Interest in Consolidated Joint Venture Definition</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calculate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of unconsolidated affiliates.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is then calculated as EBITDA</w:t>
      </w:r>
      <w:r>
        <w:rPr>
          <w:rFonts w:ascii="Arial" w:cs="Arial" w:eastAsia="Arial" w:hAnsi="Arial"/>
          <w:sz w:val="18"/>
          <w:szCs w:val="18"/>
          <w:i w:val="1"/>
          <w:iCs w:val="1"/>
          <w:color w:val="auto"/>
        </w:rPr>
        <w:t>re</w:t>
      </w:r>
      <w:r>
        <w:rPr>
          <w:rFonts w:ascii="Arial" w:cs="Arial" w:eastAsia="Arial" w:hAnsi="Arial"/>
          <w:sz w:val="18"/>
          <w:szCs w:val="18"/>
          <w:color w:val="auto"/>
        </w:rPr>
        <w:t>, plus to the extent the following adjustments occurred during the periods presented:</w:t>
      </w:r>
    </w:p>
    <w:p>
      <w:pPr>
        <w:spacing w:after="0" w:line="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losses on held-to-maturity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transaction costs of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income on bonds;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 rata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from unconsolidated joint venture;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40"/>
        <w:spacing w:after="0" w:line="277" w:lineRule="auto"/>
        <w:rPr>
          <w:sz w:val="20"/>
          <w:szCs w:val="20"/>
          <w:color w:val="auto"/>
        </w:rPr>
      </w:pPr>
      <w:r>
        <w:rPr>
          <w:rFonts w:ascii="Arial" w:cs="Arial" w:eastAsia="Arial" w:hAnsi="Arial"/>
          <w:sz w:val="18"/>
          <w:szCs w:val="18"/>
          <w:color w:val="auto"/>
        </w:rPr>
        <w:t>We then exclude noncontrolling interests in consolidated joint venture to calculate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use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and segment or property-level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to evaluate our operating performance. We believe that the presentation of these non-GAAP metrics provides useful information to investors regarding our operating performance and debt leverage metrics, and that the presentation of these non-GAAP metrics, when combined with the primary GAAP presentation of net income or operating income, as applicable, is beneficial to an investor’s complete understanding of our operating performance. We make additional adjustments to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when evaluating our performance because we believe that presenting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provides useful information to investors regarding our operating performance and debt leverage metrics.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EBITDAre, Excluding Noncontrolling Interest in Consolidated Joint Venture Margin Definition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calculate consolidated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in Consolidated Joint Venture Margin by dividing consolidated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in Consolidated Joint Venture by GAAP consolidated Total Revenue. We calculate consolidated, segment or property-level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Margin by dividing consolidated, segment-, or property-level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by consolidated, segment-, or property-level GAAP Revenue. We believe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in Consolidated Joint Venture Margin is useful to investors in evaluating our operating performance because this non-GAAP financial measure helps investors evaluate and compare the results of our operations from period to period by presenting a ratio showing the quantitative relationship between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in Consolidated Joint Venture and GAAP consolidated Total Revenue or segment or property-level GAAP Revenue, as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FFO, Adjusted FFO, and Adjusted FFO available to common shareholders and unit holders Definition</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calculate FFO,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 attributable to noncontrolling interest, and pro rata adjustments for unconsolidated joint venture.</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 calculate Adjusted FFO available to common shareholders and unit holders, we then exclude, to the extent the following adjustments occurred during the periods presented:</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 w:name="page15"/>
    <w:bookmarkEnd w:id="14"/>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right-of-use asset amortization;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write-offs of deferred financing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amortization of debt discounts or premiums and amortization of deferred financing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(gains) losses on extinguishment of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loss on held-to-maturity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pro rata adjustments from unconsolidated joint venture;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(gains) losses on other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 costs on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deferred income tax expense (benefit);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To calculate Adjusted FFO available to common shareholders and unit holders (excluding maintenance capex), we then exclude FF&amp;E reserve for managed properties and maintenance capital expenditures for non-managed properties. FFO available to common shareholders and unit holders and Adjusted FFO available to common shareholders and unit holders and Adjusted FFO available to common shareholders and unit holders (excluding maintenance capex) exclude the ownership portion of Gaylord Rockies joint venture not controlled or owned by the Company in prior periods.</w:t>
      </w:r>
    </w:p>
    <w:p>
      <w:pPr>
        <w:spacing w:after="0" w:line="15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caution investors that non-GAAP financial measures we present may not be comparable to similar measures disclosed by other companies, because not all companies calculate these non-GAAP measures in the same manner. The non-GAAP financial measures we present,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0" w:type="dxa"/>
            <w:vAlign w:val="bottom"/>
            <w:tcBorders>
              <w:top w:val="single" w:sz="8" w:color="auto"/>
              <w:left w:val="single" w:sz="8" w:color="auto"/>
              <w:bottom w:val="single" w:sz="8" w:color="auto"/>
            </w:tcBorders>
          </w:tcPr>
          <w:p>
            <w:pPr>
              <w:spacing w:after="0"/>
              <w:rPr>
                <w:sz w:val="19"/>
                <w:szCs w:val="19"/>
                <w:color w:val="auto"/>
              </w:rPr>
            </w:pPr>
          </w:p>
        </w:tc>
        <w:tc>
          <w:tcPr>
            <w:tcW w:w="5300" w:type="dxa"/>
            <w:vAlign w:val="bottom"/>
            <w:tcBorders>
              <w:top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rPr>
              <w:t>Investor Relations Contacts:</w:t>
            </w:r>
          </w:p>
        </w:tc>
        <w:tc>
          <w:tcPr>
            <w:tcW w:w="5820" w:type="dxa"/>
            <w:vAlign w:val="bottom"/>
            <w:tcBorders>
              <w:top w:val="single" w:sz="8" w:color="auto"/>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b w:val="1"/>
                <w:bCs w:val="1"/>
                <w:i w:val="1"/>
                <w:iCs w:val="1"/>
                <w:color w:val="auto"/>
              </w:rPr>
              <w:t>Media Contacts:</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5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Mark Fioravanti, President &amp; Chief Financial Officer</w:t>
            </w:r>
          </w:p>
        </w:tc>
        <w:tc>
          <w:tcPr>
            <w:tcW w:w="58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w w:val="98"/>
              </w:rPr>
              <w:t>Shannon Sullivan, Vice President Corporate and Brand Communications</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Ryman Hospitality Properties, Inc.</w:t>
            </w:r>
          </w:p>
        </w:tc>
        <w:tc>
          <w:tcPr>
            <w:tcW w:w="58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Ryman Hospitality Properties, Inc.</w:t>
            </w:r>
          </w:p>
        </w:tc>
      </w:tr>
      <w:tr>
        <w:trPr>
          <w:trHeight w:val="210"/>
        </w:trPr>
        <w:tc>
          <w:tcPr>
            <w:tcW w:w="178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(615) 316-6588</w:t>
            </w:r>
          </w:p>
        </w:tc>
        <w:tc>
          <w:tcPr>
            <w:tcW w:w="34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(615) 316-6725</w:t>
            </w: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spacing w:after="0"/>
              <w:rPr>
                <w:sz w:val="18"/>
                <w:szCs w:val="18"/>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530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8"/>
                <w:szCs w:val="18"/>
                <w:color w:val="auto"/>
              </w:rPr>
              <w:t>mfioravanti@rymanhp.com</w:t>
            </w:r>
          </w:p>
        </w:tc>
        <w:tc>
          <w:tcPr>
            <w:tcW w:w="582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ssullivan@rymanhp.com</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5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rPr>
              <w:t>~or~</w:t>
            </w:r>
          </w:p>
        </w:tc>
        <w:tc>
          <w:tcPr>
            <w:tcW w:w="58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b w:val="1"/>
                <w:bCs w:val="1"/>
                <w:i w:val="1"/>
                <w:iCs w:val="1"/>
                <w:color w:val="auto"/>
              </w:rPr>
              <w:t>~or~</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w w:val="98"/>
              </w:rPr>
              <w:t>Todd Siefert, Senior Vice President Corporate Finance &amp; Treasurer</w:t>
            </w:r>
          </w:p>
        </w:tc>
        <w:tc>
          <w:tcPr>
            <w:tcW w:w="58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Robert Winters</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Ryman Hospitality Properties, Inc.</w:t>
            </w:r>
          </w:p>
        </w:tc>
        <w:tc>
          <w:tcPr>
            <w:tcW w:w="58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Alpha IR Group</w:t>
            </w:r>
          </w:p>
        </w:tc>
      </w:tr>
      <w:tr>
        <w:trPr>
          <w:trHeight w:val="210"/>
        </w:trPr>
        <w:tc>
          <w:tcPr>
            <w:tcW w:w="178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(615) 316-6344</w:t>
            </w:r>
          </w:p>
        </w:tc>
        <w:tc>
          <w:tcPr>
            <w:tcW w:w="34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(929) 266-6315</w:t>
            </w: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spacing w:after="0"/>
              <w:rPr>
                <w:sz w:val="18"/>
                <w:szCs w:val="18"/>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530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8"/>
                <w:szCs w:val="18"/>
                <w:color w:val="auto"/>
              </w:rPr>
              <w:t>tsiefert@rymanhp.com</w:t>
            </w:r>
          </w:p>
        </w:tc>
        <w:tc>
          <w:tcPr>
            <w:tcW w:w="582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robert.winters@alpha-ir.com</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6"/>
          </w:tcPr>
          <w:p>
            <w:pPr>
              <w:jc w:val="right"/>
              <w:ind w:right="861"/>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2620" w:type="dxa"/>
            <w:vAlign w:val="bottom"/>
            <w:gridSpan w:val="6"/>
          </w:tcPr>
          <w:p>
            <w:pPr>
              <w:jc w:val="right"/>
              <w:ind w:right="561"/>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3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8"/>
                <w:szCs w:val="18"/>
                <w:b w:val="1"/>
                <w:bCs w:val="1"/>
                <w:color w:val="auto"/>
              </w:rPr>
              <w:t>Dec. 31</w:t>
            </w: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Dec.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Rooms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125,483</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38,301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328,874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171,718</w:t>
            </w: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Food and beverage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109,892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24,061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279,489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187,538</w:t>
            </w: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Other hotel revenue</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87,865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49,729</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178,220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106,789</w:t>
            </w:r>
          </w:p>
        </w:tc>
      </w:tr>
      <w:tr>
        <w:trPr>
          <w:trHeight w:val="23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Entertainment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54,191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14,424</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152,790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58,430</w:t>
            </w:r>
          </w:p>
        </w:tc>
      </w:tr>
      <w:tr>
        <w:trPr>
          <w:trHeight w:val="209"/>
        </w:trPr>
        <w:tc>
          <w:tcPr>
            <w:tcW w:w="52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377,431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126,515</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939,373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524,475</w:t>
            </w:r>
          </w:p>
        </w:tc>
        <w:tc>
          <w:tcPr>
            <w:tcW w:w="100" w:type="dxa"/>
            <w:vAlign w:val="bottom"/>
            <w:tcBorders>
              <w:bottom w:val="single" w:sz="8" w:color="CCEEFF"/>
            </w:tcBorders>
          </w:tcPr>
          <w:p>
            <w:pPr>
              <w:spacing w:after="0"/>
              <w:rPr>
                <w:sz w:val="18"/>
                <w:szCs w:val="18"/>
                <w:color w:val="auto"/>
              </w:rPr>
            </w:pPr>
          </w:p>
        </w:tc>
      </w:tr>
      <w:tr>
        <w:trPr>
          <w:trHeight w:val="209"/>
        </w:trPr>
        <w:tc>
          <w:tcPr>
            <w:tcW w:w="3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Rooms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32,926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11,883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88,244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58,943</w:t>
            </w: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72,573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31,206</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190,855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146,141</w:t>
            </w: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hotel expenses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131,666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68,210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327,791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260,690</w:t>
            </w:r>
          </w:p>
        </w:tc>
      </w:tr>
      <w:tr>
        <w:trPr>
          <w:trHeight w:val="229"/>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Management fees</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6,222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1,621</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14,031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7,066</w:t>
            </w:r>
          </w:p>
        </w:tc>
      </w:tr>
      <w:tr>
        <w:trPr>
          <w:trHeight w:val="210"/>
        </w:trPr>
        <w:tc>
          <w:tcPr>
            <w:tcW w:w="52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hotel 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112,920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Entertainment</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39,956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18,155</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117,753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78,301</w:t>
            </w: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11,675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6,102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38,597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28,795</w:t>
            </w: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1,665</w:t>
            </w: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loss on sale of assets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Credit loss on held-to-maturity securities</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32,784</w:t>
            </w:r>
          </w:p>
        </w:tc>
      </w:tr>
      <w:tr>
        <w:trPr>
          <w:trHeight w:val="23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56,276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53,850</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220,357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215,082</w:t>
            </w:r>
          </w:p>
        </w:tc>
      </w:tr>
      <w:tr>
        <w:trPr>
          <w:trHeight w:val="210"/>
        </w:trPr>
        <w:tc>
          <w:tcPr>
            <w:tcW w:w="52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351,297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191,195</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998,048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828,306</w:t>
            </w:r>
          </w:p>
        </w:tc>
        <w:tc>
          <w:tcPr>
            <w:tcW w:w="100" w:type="dxa"/>
            <w:vAlign w:val="bottom"/>
            <w:tcBorders>
              <w:bottom w:val="single" w:sz="8" w:color="CCEEFF"/>
            </w:tcBorders>
          </w:tcPr>
          <w:p>
            <w:pPr>
              <w:spacing w:after="0"/>
              <w:rPr>
                <w:sz w:val="18"/>
                <w:szCs w:val="18"/>
                <w:color w:val="auto"/>
              </w:rPr>
            </w:pPr>
          </w:p>
        </w:tc>
      </w:tr>
      <w:tr>
        <w:trPr>
          <w:trHeight w:val="210"/>
        </w:trPr>
        <w:tc>
          <w:tcPr>
            <w:tcW w:w="3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26,134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(64,680)</w:t>
            </w:r>
          </w:p>
        </w:tc>
        <w:tc>
          <w:tcPr>
            <w:tcW w:w="2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(58,675)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(303,831)</w:t>
            </w:r>
          </w:p>
        </w:tc>
      </w:tr>
      <w:tr>
        <w:trPr>
          <w:trHeight w:val="216"/>
        </w:trPr>
        <w:tc>
          <w:tcPr>
            <w:tcW w:w="3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(32,291)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(28,256)</w:t>
            </w:r>
          </w:p>
        </w:tc>
        <w:tc>
          <w:tcPr>
            <w:tcW w:w="2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(125,347)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(115,783)</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1,431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1,539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5,685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7,304</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consolidated joint ventures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(3,132)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(969)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(8,963)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(6,451)</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Other gains and (losses), net</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(14,976)</w:t>
            </w:r>
          </w:p>
        </w:tc>
      </w:tr>
      <w:tr>
        <w:trPr>
          <w:trHeight w:val="209"/>
        </w:trPr>
        <w:tc>
          <w:tcPr>
            <w:tcW w:w="5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(92,511)</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1,683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(27,084)</w:t>
            </w:r>
          </w:p>
        </w:tc>
      </w:tr>
      <w:tr>
        <w:trPr>
          <w:trHeight w:val="210"/>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(92,549)</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(460,821)</w:t>
            </w: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200" w:type="dxa"/>
            <w:vAlign w:val="bottom"/>
            <w:gridSpan w:val="2"/>
          </w:tcPr>
          <w:p>
            <w:pPr>
              <w:spacing w:after="0" w:line="201" w:lineRule="exact"/>
              <w:rPr>
                <w:sz w:val="20"/>
                <w:szCs w:val="20"/>
                <w:color w:val="auto"/>
              </w:rPr>
            </w:pPr>
            <w:r>
              <w:rPr>
                <w:rFonts w:ascii="Arial" w:cs="Arial" w:eastAsia="Arial" w:hAnsi="Arial"/>
                <w:sz w:val="18"/>
                <w:szCs w:val="18"/>
                <w:color w:val="auto"/>
                <w:w w:val="98"/>
              </w:rPr>
              <w:t>Net loss attributable to noncontrolling interest in consolidated joint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venture</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12,194</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16,501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42,474</w:t>
            </w:r>
          </w:p>
        </w:tc>
      </w:tr>
      <w:tr>
        <w:trPr>
          <w:trHeight w:val="202"/>
        </w:trPr>
        <w:tc>
          <w:tcPr>
            <w:tcW w:w="5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noncontrolling interest in Operating</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631</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956</w:t>
            </w:r>
          </w:p>
        </w:tc>
      </w:tr>
      <w:tr>
        <w:trPr>
          <w:trHeight w:val="263"/>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available to common shareholders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(79,724</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(176,966</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(417,391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35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gridSpan w:val="2"/>
          </w:tcPr>
          <w:p>
            <w:pPr>
              <w:spacing w:after="0"/>
              <w:rPr>
                <w:sz w:val="20"/>
                <w:szCs w:val="20"/>
                <w:color w:val="auto"/>
              </w:rPr>
            </w:pPr>
            <w:r>
              <w:rPr>
                <w:rFonts w:ascii="Arial" w:cs="Arial" w:eastAsia="Arial" w:hAnsi="Arial"/>
                <w:sz w:val="18"/>
                <w:szCs w:val="18"/>
                <w:color w:val="auto"/>
              </w:rPr>
              <w:t>Basic loss per share available to common shareholders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(0.11)</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(1.45)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(3.21)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(7.59)</w:t>
            </w:r>
          </w:p>
        </w:tc>
      </w:tr>
      <w:tr>
        <w:trPr>
          <w:trHeight w:val="197"/>
        </w:trPr>
        <w:tc>
          <w:tcPr>
            <w:tcW w:w="520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Diluted loss per share available to common shareholders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Weighted average common shares for the period:</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5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Basic</w:t>
            </w:r>
          </w:p>
        </w:tc>
        <w:tc>
          <w:tcPr>
            <w:tcW w:w="1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55,068</w:t>
            </w: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2"/>
          </w:tcPr>
          <w:p>
            <w:pPr>
              <w:jc w:val="right"/>
              <w:ind w:right="261"/>
              <w:spacing w:after="0"/>
              <w:rPr>
                <w:sz w:val="20"/>
                <w:szCs w:val="20"/>
                <w:color w:val="auto"/>
              </w:rPr>
            </w:pPr>
            <w:r>
              <w:rPr>
                <w:rFonts w:ascii="Arial" w:cs="Arial" w:eastAsia="Arial" w:hAnsi="Arial"/>
                <w:sz w:val="18"/>
                <w:szCs w:val="18"/>
                <w:color w:val="auto"/>
              </w:rPr>
              <w:t>54,981</w:t>
            </w:r>
          </w:p>
        </w:tc>
        <w:tc>
          <w:tcPr>
            <w:tcW w:w="2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jc w:val="right"/>
              <w:ind w:right="121"/>
              <w:spacing w:after="0"/>
              <w:rPr>
                <w:sz w:val="20"/>
                <w:szCs w:val="20"/>
                <w:color w:val="auto"/>
              </w:rPr>
            </w:pPr>
            <w:r>
              <w:rPr>
                <w:rFonts w:ascii="Arial" w:cs="Arial" w:eastAsia="Arial" w:hAnsi="Arial"/>
                <w:sz w:val="18"/>
                <w:szCs w:val="18"/>
                <w:color w:val="auto"/>
              </w:rPr>
              <w:t>55,047</w:t>
            </w: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21"/>
              <w:spacing w:after="0"/>
              <w:rPr>
                <w:sz w:val="20"/>
                <w:szCs w:val="20"/>
                <w:color w:val="auto"/>
              </w:rPr>
            </w:pPr>
            <w:r>
              <w:rPr>
                <w:rFonts w:ascii="Arial" w:cs="Arial" w:eastAsia="Arial" w:hAnsi="Arial"/>
                <w:sz w:val="18"/>
                <w:szCs w:val="18"/>
                <w:color w:val="auto"/>
              </w:rPr>
              <w:t>54,962</w:t>
            </w: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55,068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54,981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55,047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54,962</w:t>
            </w:r>
          </w:p>
        </w:tc>
      </w:tr>
      <w:tr>
        <w:trPr>
          <w:trHeight w:val="648"/>
        </w:trPr>
        <w:tc>
          <w:tcPr>
            <w:tcW w:w="3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904" w:right="339" w:bottom="1440" w:gutter="0" w:footer="0" w:header="0"/>
        </w:sectPr>
      </w:pPr>
    </w:p>
    <w:bookmarkStart w:id="16" w:name="page17"/>
    <w:bookmarkEnd w:id="16"/>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jc w:val="center"/>
              <w:ind w:left="2830"/>
              <w:spacing w:after="0"/>
              <w:rPr>
                <w:sz w:val="20"/>
                <w:szCs w:val="20"/>
                <w:color w:val="auto"/>
              </w:rPr>
            </w:pPr>
            <w:r>
              <w:rPr>
                <w:rFonts w:ascii="Arial" w:cs="Arial" w:eastAsia="Arial" w:hAnsi="Arial"/>
                <w:sz w:val="18"/>
                <w:szCs w:val="18"/>
                <w:b w:val="1"/>
                <w:bCs w:val="1"/>
                <w:color w:val="auto"/>
              </w:rPr>
              <w:t>RYMAN HOSPITALITY PROPERTIES, INC. AND SUBSIDIARIES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380" w:type="dxa"/>
            <w:vAlign w:val="bottom"/>
          </w:tcPr>
          <w:p>
            <w:pPr>
              <w:jc w:val="center"/>
              <w:ind w:left="28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380" w:type="dxa"/>
            <w:vAlign w:val="bottom"/>
          </w:tcPr>
          <w:p>
            <w:pPr>
              <w:jc w:val="center"/>
              <w:ind w:left="2830"/>
              <w:spacing w:after="0"/>
              <w:rPr>
                <w:sz w:val="20"/>
                <w:szCs w:val="20"/>
                <w:color w:val="auto"/>
              </w:rPr>
            </w:pPr>
            <w:r>
              <w:rPr>
                <w:rFonts w:ascii="Arial" w:cs="Arial" w:eastAsia="Arial" w:hAnsi="Arial"/>
                <w:sz w:val="18"/>
                <w:szCs w:val="18"/>
                <w:color w:val="auto"/>
                <w:w w:val="90"/>
              </w:rPr>
              <w:t>Unaudited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380" w:type="dxa"/>
            <w:vAlign w:val="bottom"/>
          </w:tcPr>
          <w:p>
            <w:pPr>
              <w:jc w:val="center"/>
              <w:ind w:left="2810"/>
              <w:spacing w:after="0"/>
              <w:rPr>
                <w:sz w:val="20"/>
                <w:szCs w:val="20"/>
                <w:color w:val="auto"/>
              </w:rPr>
            </w:pPr>
            <w:r>
              <w:rPr>
                <w:rFonts w:ascii="Arial" w:cs="Arial" w:eastAsia="Arial" w:hAnsi="Arial"/>
                <w:sz w:val="18"/>
                <w:szCs w:val="18"/>
                <w:color w:val="auto"/>
                <w:w w:val="90"/>
              </w:rPr>
              <w:t>(In thousands)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8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Dec.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 31,</w:t>
            </w:r>
          </w:p>
        </w:tc>
      </w:tr>
      <w:tr>
        <w:trPr>
          <w:trHeight w:val="234"/>
        </w:trPr>
        <w:tc>
          <w:tcPr>
            <w:tcW w:w="83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Property and equipment, net of accumulated depreciation</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3,031,844</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3,117,247</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 - unrestricted</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56,697</w:t>
            </w: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Cash and cash equivalents - restricted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23,057</w:t>
            </w: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71,923</w:t>
            </w: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Trade receivables,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74,745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20,106</w:t>
            </w: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100,494</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126,804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166,971</w:t>
            </w:r>
          </w:p>
        </w:tc>
        <w:tc>
          <w:tcPr>
            <w:tcW w:w="80" w:type="dxa"/>
            <w:vAlign w:val="bottom"/>
          </w:tcPr>
          <w:p>
            <w:pPr>
              <w:spacing w:after="0"/>
              <w:rPr>
                <w:sz w:val="18"/>
                <w:szCs w:val="18"/>
                <w:color w:val="auto"/>
              </w:rPr>
            </w:pPr>
          </w:p>
        </w:tc>
      </w:tr>
      <w:tr>
        <w:trPr>
          <w:trHeight w:val="209"/>
        </w:trPr>
        <w:tc>
          <w:tcPr>
            <w:tcW w:w="83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3,580,525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3,556,495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60"/>
              <w:spacing w:after="0"/>
              <w:rPr>
                <w:sz w:val="20"/>
                <w:szCs w:val="20"/>
                <w:color w:val="auto"/>
              </w:rPr>
            </w:pPr>
            <w:r>
              <w:rPr>
                <w:rFonts w:ascii="Arial" w:cs="Arial" w:eastAsia="Arial" w:hAnsi="Arial"/>
                <w:sz w:val="18"/>
                <w:szCs w:val="18"/>
                <w:color w:val="auto"/>
              </w:rPr>
              <w:t>LIABILITIES AND EQUITY:</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and finance lease obligations</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2,936,819</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2,658,008</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304,719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203,121</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payable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Deferred management rights proceeds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170,614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172,724</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107,569</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Deferred income tax liabilities,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92,779</w:t>
            </w: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Noncontrolling interest in consolidated joint venture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100,969</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 (deficit)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219,817</w:t>
            </w:r>
          </w:p>
        </w:tc>
        <w:tc>
          <w:tcPr>
            <w:tcW w:w="80" w:type="dxa"/>
            <w:vAlign w:val="bottom"/>
            <w:shd w:val="clear" w:color="auto" w:fill="CCEEFF"/>
          </w:tcPr>
          <w:p>
            <w:pPr>
              <w:spacing w:after="0"/>
              <w:rPr>
                <w:sz w:val="18"/>
                <w:szCs w:val="18"/>
                <w:color w:val="auto"/>
              </w:rPr>
            </w:pPr>
          </w:p>
        </w:tc>
      </w:tr>
      <w:tr>
        <w:trPr>
          <w:trHeight w:val="209"/>
        </w:trPr>
        <w:tc>
          <w:tcPr>
            <w:tcW w:w="8380" w:type="dxa"/>
            <w:vAlign w:val="bottom"/>
          </w:tcPr>
          <w:p>
            <w:pPr>
              <w:ind w:left="540"/>
              <w:spacing w:after="0"/>
              <w:rPr>
                <w:sz w:val="20"/>
                <w:szCs w:val="20"/>
                <w:color w:val="auto"/>
              </w:rPr>
            </w:pPr>
            <w:r>
              <w:rPr>
                <w:rFonts w:ascii="Arial" w:cs="Arial" w:eastAsia="Arial" w:hAnsi="Arial"/>
                <w:sz w:val="18"/>
                <w:szCs w:val="18"/>
                <w:color w:val="auto"/>
              </w:rPr>
              <w:t>Total liabilities and equity</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3,580,525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3,556,495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8"/>
          <w:szCs w:val="18"/>
          <w:b w:val="1"/>
          <w:bCs w:val="1"/>
          <w:i w:val="1"/>
          <w:iCs w:val="1"/>
          <w:color w:val="auto"/>
        </w:rPr>
        <w:t>re</w:t>
      </w:r>
      <w:r>
        <w:rPr>
          <w:rFonts w:ascii="Arial" w:cs="Arial" w:eastAsia="Arial" w:hAnsi="Arial"/>
          <w:sz w:val="18"/>
          <w:szCs w:val="18"/>
          <w:b w:val="1"/>
          <w:bCs w:val="1"/>
          <w:color w:val="auto"/>
        </w:rPr>
        <w:t xml:space="preserve">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8"/>
          </w:tcPr>
          <w:p>
            <w:pPr>
              <w:jc w:val="right"/>
              <w:ind w:right="218"/>
              <w:spacing w:after="0"/>
              <w:rPr>
                <w:sz w:val="20"/>
                <w:szCs w:val="20"/>
                <w:color w:val="auto"/>
              </w:rPr>
            </w:pPr>
            <w:r>
              <w:rPr>
                <w:rFonts w:ascii="Arial" w:cs="Arial" w:eastAsia="Arial" w:hAnsi="Arial"/>
                <w:sz w:val="13"/>
                <w:szCs w:val="13"/>
                <w:b w:val="1"/>
                <w:bCs w:val="1"/>
                <w:color w:val="auto"/>
              </w:rPr>
              <w:t>Three Months Ended Dec. 31,</w:t>
            </w: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3"/>
                <w:szCs w:val="13"/>
                <w:b w:val="1"/>
                <w:bCs w:val="1"/>
                <w:color w:val="auto"/>
                <w:w w:val="95"/>
              </w:rPr>
              <w:t>Twelve Months Ended Dec. 31,</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0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b w:val="1"/>
                <w:bCs w:val="1"/>
                <w:color w:val="auto"/>
              </w:rPr>
              <w:t>Margin</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3"/>
                <w:szCs w:val="13"/>
                <w:b w:val="1"/>
                <w:bCs w:val="1"/>
                <w:color w:val="auto"/>
              </w:rPr>
              <w:t>Margin</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b w:val="1"/>
                <w:bCs w:val="1"/>
                <w:color w:val="auto"/>
              </w:rPr>
              <w:t>Margin</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3"/>
                <w:szCs w:val="13"/>
                <w:b w:val="1"/>
                <w:bCs w:val="1"/>
                <w:color w:val="auto"/>
              </w:rPr>
              <w:t>Margin</w:t>
            </w:r>
          </w:p>
        </w:tc>
        <w:tc>
          <w:tcPr>
            <w:tcW w:w="100" w:type="dxa"/>
            <w:vAlign w:val="bottom"/>
            <w:tcBorders>
              <w:bottom w:val="single" w:sz="8" w:color="CCEEFF"/>
            </w:tcBorders>
          </w:tcPr>
          <w:p>
            <w:pPr>
              <w:spacing w:after="0"/>
              <w:rPr>
                <w:sz w:val="12"/>
                <w:szCs w:val="12"/>
                <w:color w:val="auto"/>
              </w:rPr>
            </w:pPr>
          </w:p>
        </w:tc>
      </w:tr>
      <w:tr>
        <w:trPr>
          <w:trHeight w:val="128"/>
        </w:trPr>
        <w:tc>
          <w:tcPr>
            <w:tcW w:w="40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Consolidated</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ind w:left="180"/>
              <w:spacing w:after="0" w:line="135" w:lineRule="exact"/>
              <w:rPr>
                <w:sz w:val="20"/>
                <w:szCs w:val="20"/>
                <w:color w:val="auto"/>
              </w:rPr>
            </w:pPr>
            <w:r>
              <w:rPr>
                <w:rFonts w:ascii="Arial" w:cs="Arial" w:eastAsia="Arial" w:hAnsi="Arial"/>
                <w:sz w:val="13"/>
                <w:szCs w:val="13"/>
                <w:b w:val="1"/>
                <w:bCs w:val="1"/>
                <w:color w:val="auto"/>
              </w:rPr>
              <w:t>Revenue</w:t>
            </w:r>
          </w:p>
        </w:tc>
        <w:tc>
          <w:tcPr>
            <w:tcW w:w="30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377,431</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126,515</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939,373</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524,475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Net loss</w:t>
            </w:r>
          </w:p>
        </w:tc>
        <w:tc>
          <w:tcPr>
            <w:tcW w:w="30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(6,024)</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-1.6%</w:t>
            </w:r>
          </w:p>
        </w:tc>
        <w:tc>
          <w:tcPr>
            <w:tcW w:w="24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(92,549)</w:t>
            </w:r>
          </w:p>
        </w:tc>
        <w:tc>
          <w:tcPr>
            <w:tcW w:w="88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-73.2%</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w w:val="96"/>
              </w:rPr>
              <w:t>(194,801)</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-20.7%</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(460,821)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-87.9%</w:t>
            </w: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Interest expense, net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30,860</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26,717</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119,662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108,479</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Provision (benefit) for income taxes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(1,683)</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38</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4,957</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27,084</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Depreciation &amp; amortization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56,276</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53,850</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220,357</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215,082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(Gain) loss on sale of assets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101</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(315)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(1,154)</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4060" w:type="dxa"/>
            <w:vAlign w:val="bottom"/>
            <w:gridSpan w:val="4"/>
          </w:tcPr>
          <w:p>
            <w:pPr>
              <w:ind w:left="340"/>
              <w:spacing w:after="0"/>
              <w:rPr>
                <w:sz w:val="20"/>
                <w:szCs w:val="20"/>
                <w:color w:val="auto"/>
              </w:rPr>
            </w:pPr>
            <w:r>
              <w:rPr>
                <w:rFonts w:ascii="Arial" w:cs="Arial" w:eastAsia="Arial" w:hAnsi="Arial"/>
                <w:sz w:val="13"/>
                <w:szCs w:val="13"/>
                <w:color w:val="auto"/>
              </w:rPr>
              <w:t>Pro rata EBITDA</w:t>
            </w:r>
            <w:r>
              <w:rPr>
                <w:rFonts w:ascii="Arial" w:cs="Arial" w:eastAsia="Arial" w:hAnsi="Arial"/>
                <w:sz w:val="13"/>
                <w:szCs w:val="13"/>
                <w:i w:val="1"/>
                <w:iCs w:val="1"/>
                <w:color w:val="auto"/>
              </w:rPr>
              <w:t>re</w:t>
            </w:r>
            <w:r>
              <w:rPr>
                <w:rFonts w:ascii="Arial" w:cs="Arial" w:eastAsia="Arial" w:hAnsi="Arial"/>
                <w:sz w:val="13"/>
                <w:szCs w:val="13"/>
                <w:color w:val="auto"/>
              </w:rPr>
              <w:t xml:space="preserve"> from unconsolidated joint ventures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97"/>
              <w:spacing w:after="0"/>
              <w:rPr>
                <w:sz w:val="20"/>
                <w:szCs w:val="20"/>
                <w:color w:val="auto"/>
              </w:rPr>
            </w:pPr>
            <w:r>
              <w:rPr>
                <w:rFonts w:ascii="Arial" w:cs="Arial" w:eastAsia="Arial" w:hAnsi="Arial"/>
                <w:sz w:val="13"/>
                <w:szCs w:val="13"/>
                <w:color w:val="auto"/>
              </w:rPr>
              <w:t>20</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32</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48</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4060" w:type="dxa"/>
            <w:vAlign w:val="bottom"/>
            <w:tcBorders>
              <w:top w:val="single" w:sz="8" w:color="CCEEFF"/>
            </w:tcBorders>
            <w:gridSpan w:val="4"/>
            <w:shd w:val="clear" w:color="auto" w:fill="CCEEFF"/>
          </w:tcPr>
          <w:p>
            <w:pPr>
              <w:ind w:left="180"/>
              <w:spacing w:after="0" w:line="129" w:lineRule="exact"/>
              <w:rPr>
                <w:sz w:val="20"/>
                <w:szCs w:val="20"/>
                <w:color w:val="auto"/>
              </w:rPr>
            </w:pPr>
            <w:r>
              <w:rPr>
                <w:rFonts w:ascii="Arial" w:cs="Arial" w:eastAsia="Arial" w:hAnsi="Arial"/>
                <w:sz w:val="13"/>
                <w:szCs w:val="13"/>
                <w:b w:val="1"/>
                <w:bCs w:val="1"/>
                <w:color w:val="auto"/>
              </w:rPr>
              <w:t>EBITDA</w:t>
            </w:r>
            <w:r>
              <w:rPr>
                <w:rFonts w:ascii="Arial" w:cs="Arial" w:eastAsia="Arial" w:hAnsi="Arial"/>
                <w:sz w:val="13"/>
                <w:szCs w:val="13"/>
                <w:b w:val="1"/>
                <w:bCs w:val="1"/>
                <w:i w:val="1"/>
                <w:iCs w:val="1"/>
                <w:color w:val="auto"/>
              </w:rPr>
              <w:t>re</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79,449</w:t>
            </w: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gridSpan w:val="2"/>
            <w:shd w:val="clear" w:color="auto" w:fill="CCEEFF"/>
          </w:tcPr>
          <w:p>
            <w:pPr>
              <w:jc w:val="right"/>
              <w:ind w:right="22"/>
              <w:spacing w:after="0" w:line="129" w:lineRule="exact"/>
              <w:rPr>
                <w:sz w:val="20"/>
                <w:szCs w:val="20"/>
                <w:color w:val="auto"/>
              </w:rPr>
            </w:pPr>
            <w:r>
              <w:rPr>
                <w:rFonts w:ascii="Arial" w:cs="Arial" w:eastAsia="Arial" w:hAnsi="Arial"/>
                <w:sz w:val="13"/>
                <w:szCs w:val="13"/>
                <w:color w:val="auto"/>
              </w:rPr>
              <w:t>21.0%</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(11,811)</w:t>
            </w: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gridSpan w:val="2"/>
            <w:shd w:val="clear" w:color="auto" w:fill="CCEEFF"/>
          </w:tcPr>
          <w:p>
            <w:pPr>
              <w:jc w:val="right"/>
              <w:ind w:right="62"/>
              <w:spacing w:after="0" w:line="129" w:lineRule="exact"/>
              <w:rPr>
                <w:sz w:val="20"/>
                <w:szCs w:val="20"/>
                <w:color w:val="auto"/>
              </w:rPr>
            </w:pPr>
            <w:r>
              <w:rPr>
                <w:rFonts w:ascii="Arial" w:cs="Arial" w:eastAsia="Arial" w:hAnsi="Arial"/>
                <w:sz w:val="13"/>
                <w:szCs w:val="13"/>
                <w:color w:val="auto"/>
              </w:rPr>
              <w:t>-9.3%</w:t>
            </w: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149,933</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gridSpan w:val="2"/>
            <w:shd w:val="clear" w:color="auto" w:fill="CCEEFF"/>
          </w:tcPr>
          <w:p>
            <w:pPr>
              <w:jc w:val="right"/>
              <w:ind w:right="62"/>
              <w:spacing w:after="0" w:line="129" w:lineRule="exact"/>
              <w:rPr>
                <w:sz w:val="20"/>
                <w:szCs w:val="20"/>
                <w:color w:val="auto"/>
              </w:rPr>
            </w:pPr>
            <w:r>
              <w:rPr>
                <w:rFonts w:ascii="Arial" w:cs="Arial" w:eastAsia="Arial" w:hAnsi="Arial"/>
                <w:sz w:val="13"/>
                <w:szCs w:val="13"/>
                <w:color w:val="auto"/>
              </w:rPr>
              <w:t>16.0%</w:t>
            </w: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(111,282)</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-21.2%</w:t>
            </w: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Preopening costs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68</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737</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1,665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Non-cash lease expense</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1,121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1,116</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4,375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4,474</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Equity-based compensation expense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3,160</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2,109</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12,104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8,732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Pension settlement charge</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370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397</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1,379</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1,740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Credit loss on held-to-maturity 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32,784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Interest income on Gaylord National bonds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1,388</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1,488</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5,502</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6,171</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Loss on extinguishment of debt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2,949</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4060" w:type="dxa"/>
            <w:vAlign w:val="bottom"/>
            <w:gridSpan w:val="4"/>
            <w:shd w:val="clear" w:color="auto" w:fill="CCEEFF"/>
          </w:tcPr>
          <w:p>
            <w:pPr>
              <w:ind w:left="340"/>
              <w:spacing w:after="0"/>
              <w:rPr>
                <w:sz w:val="20"/>
                <w:szCs w:val="20"/>
                <w:color w:val="auto"/>
              </w:rPr>
            </w:pPr>
            <w:r>
              <w:rPr>
                <w:rFonts w:ascii="Arial" w:cs="Arial" w:eastAsia="Arial" w:hAnsi="Arial"/>
                <w:sz w:val="13"/>
                <w:szCs w:val="13"/>
                <w:color w:val="auto"/>
              </w:rPr>
              <w:t>Transaction costs of acquisitions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150</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360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15,437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2"/>
        </w:trPr>
        <w:tc>
          <w:tcPr>
            <w:tcW w:w="4060" w:type="dxa"/>
            <w:vAlign w:val="bottom"/>
            <w:tcBorders>
              <w:bottom w:val="single" w:sz="8" w:color="CCEEFF"/>
            </w:tcBorders>
            <w:gridSpan w:val="4"/>
          </w:tcPr>
          <w:p>
            <w:pPr>
              <w:ind w:left="180"/>
              <w:spacing w:after="0" w:line="142"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3"/>
                <w:szCs w:val="13"/>
                <w:b w:val="1"/>
                <w:bCs w:val="1"/>
                <w:i w:val="1"/>
                <w:iCs w:val="1"/>
                <w:color w:val="auto"/>
              </w:rPr>
              <w:t>re</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85,641</w:t>
            </w:r>
          </w:p>
        </w:tc>
        <w:tc>
          <w:tcPr>
            <w:tcW w:w="26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22.7</w:t>
            </w:r>
          </w:p>
        </w:tc>
        <w:tc>
          <w:tcPr>
            <w:tcW w:w="180" w:type="dxa"/>
            <w:vAlign w:val="bottom"/>
            <w:tcBorders>
              <w:bottom w:val="single" w:sz="8" w:color="CCEEFF"/>
            </w:tcBorders>
          </w:tcPr>
          <w:p>
            <w:pPr>
              <w:jc w:val="right"/>
              <w:ind w:right="22"/>
              <w:spacing w:after="0"/>
              <w:rPr>
                <w:sz w:val="20"/>
                <w:szCs w:val="20"/>
                <w:color w:val="auto"/>
              </w:rPr>
            </w:pPr>
            <w:r>
              <w:rPr>
                <w:rFonts w:ascii="Arial" w:cs="Arial" w:eastAsia="Arial" w:hAnsi="Arial"/>
                <w:sz w:val="12"/>
                <w:szCs w:val="12"/>
                <w:color w:val="auto"/>
                <w:w w:val="74"/>
              </w:rPr>
              <w:t>%</w:t>
            </w:r>
          </w:p>
        </w:tc>
        <w:tc>
          <w:tcPr>
            <w:tcW w:w="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(6,633</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w:t>
            </w:r>
          </w:p>
        </w:tc>
        <w:tc>
          <w:tcPr>
            <w:tcW w:w="22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w w:val="74"/>
              </w:rPr>
              <w:t>%</w:t>
            </w: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177,339</w:t>
            </w:r>
          </w:p>
        </w:tc>
        <w:tc>
          <w:tcPr>
            <w:tcW w:w="2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18.9</w:t>
            </w:r>
          </w:p>
        </w:tc>
        <w:tc>
          <w:tcPr>
            <w:tcW w:w="22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w w:val="74"/>
              </w:rPr>
              <w:t>%</w:t>
            </w: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(40,279</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r>
      <w:tr>
        <w:trPr>
          <w:trHeight w:val="74"/>
        </w:trPr>
        <w:tc>
          <w:tcPr>
            <w:tcW w:w="4060" w:type="dxa"/>
            <w:vAlign w:val="bottom"/>
            <w:gridSpan w:val="4"/>
            <w:shd w:val="clear" w:color="auto" w:fill="CCEEFF"/>
          </w:tcPr>
          <w:p>
            <w:pPr>
              <w:ind w:left="340"/>
              <w:spacing w:after="0" w:line="74" w:lineRule="exact"/>
              <w:rPr>
                <w:sz w:val="20"/>
                <w:szCs w:val="20"/>
                <w:color w:val="auto"/>
              </w:rPr>
            </w:pPr>
            <w:r>
              <w:rPr>
                <w:rFonts w:ascii="Arial" w:cs="Arial" w:eastAsia="Arial" w:hAnsi="Arial"/>
                <w:sz w:val="8"/>
                <w:szCs w:val="8"/>
                <w:color w:val="auto"/>
              </w:rPr>
              <w:t>Adjusted EBITDA</w:t>
            </w:r>
            <w:r>
              <w:rPr>
                <w:rFonts w:ascii="Arial" w:cs="Arial" w:eastAsia="Arial" w:hAnsi="Arial"/>
                <w:sz w:val="8"/>
                <w:szCs w:val="8"/>
                <w:i w:val="1"/>
                <w:iCs w:val="1"/>
                <w:color w:val="auto"/>
              </w:rPr>
              <w:t>re</w:t>
            </w:r>
            <w:r>
              <w:rPr>
                <w:rFonts w:ascii="Arial" w:cs="Arial" w:eastAsia="Arial" w:hAnsi="Arial"/>
                <w:sz w:val="8"/>
                <w:szCs w:val="8"/>
                <w:color w:val="auto"/>
              </w:rPr>
              <w:t xml:space="preserve"> of noncontrolling interest in consolidated joint</w:t>
            </w: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r>
        <w:trPr>
          <w:trHeight w:val="163"/>
        </w:trPr>
        <w:tc>
          <w:tcPr>
            <w:tcW w:w="4060" w:type="dxa"/>
            <w:vAlign w:val="bottom"/>
            <w:gridSpan w:val="4"/>
            <w:shd w:val="clear" w:color="auto" w:fill="CCEEFF"/>
          </w:tcPr>
          <w:p>
            <w:pPr>
              <w:ind w:left="340"/>
              <w:spacing w:after="0"/>
              <w:rPr>
                <w:sz w:val="20"/>
                <w:szCs w:val="20"/>
                <w:color w:val="auto"/>
              </w:rPr>
            </w:pPr>
            <w:r>
              <w:rPr>
                <w:rFonts w:ascii="Arial" w:cs="Arial" w:eastAsia="Arial" w:hAnsi="Arial"/>
                <w:sz w:val="13"/>
                <w:szCs w:val="13"/>
                <w:color w:val="auto"/>
              </w:rPr>
              <w:t>venture</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1,099</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1,017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(3,989)</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97"/>
        </w:trPr>
        <w:tc>
          <w:tcPr>
            <w:tcW w:w="4060" w:type="dxa"/>
            <w:vAlign w:val="bottom"/>
            <w:gridSpan w:val="4"/>
          </w:tcPr>
          <w:p>
            <w:pPr>
              <w:ind w:left="180"/>
              <w:spacing w:after="0" w:line="97" w:lineRule="exact"/>
              <w:rPr>
                <w:sz w:val="20"/>
                <w:szCs w:val="20"/>
                <w:color w:val="auto"/>
              </w:rPr>
            </w:pPr>
            <w:r>
              <w:rPr>
                <w:rFonts w:ascii="Arial" w:cs="Arial" w:eastAsia="Arial" w:hAnsi="Arial"/>
                <w:sz w:val="10"/>
                <w:szCs w:val="10"/>
                <w:b w:val="1"/>
                <w:bCs w:val="1"/>
                <w:color w:val="auto"/>
              </w:rPr>
              <w:t>Adjusted EBITDA</w:t>
            </w:r>
            <w:r>
              <w:rPr>
                <w:rFonts w:ascii="Arial" w:cs="Arial" w:eastAsia="Arial" w:hAnsi="Arial"/>
                <w:sz w:val="10"/>
                <w:szCs w:val="10"/>
                <w:b w:val="1"/>
                <w:bCs w:val="1"/>
                <w:i w:val="1"/>
                <w:iCs w:val="1"/>
                <w:color w:val="auto"/>
              </w:rPr>
              <w:t>re</w:t>
            </w:r>
            <w:r>
              <w:rPr>
                <w:rFonts w:ascii="Arial" w:cs="Arial" w:eastAsia="Arial" w:hAnsi="Arial"/>
                <w:sz w:val="10"/>
                <w:szCs w:val="10"/>
                <w:b w:val="1"/>
                <w:bCs w:val="1"/>
                <w:color w:val="auto"/>
              </w:rPr>
              <w:t>, excluding noncontrolling interest in consolidated</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20"/>
        </w:trPr>
        <w:tc>
          <w:tcPr>
            <w:tcW w:w="4060" w:type="dxa"/>
            <w:vAlign w:val="bottom"/>
            <w:gridSpan w:val="4"/>
          </w:tcPr>
          <w:p>
            <w:pPr>
              <w:ind w:left="180"/>
              <w:spacing w:after="0"/>
              <w:rPr>
                <w:sz w:val="20"/>
                <w:szCs w:val="20"/>
                <w:color w:val="auto"/>
              </w:rPr>
            </w:pPr>
            <w:r>
              <w:rPr>
                <w:rFonts w:ascii="Arial" w:cs="Arial" w:eastAsia="Arial" w:hAnsi="Arial"/>
                <w:sz w:val="13"/>
                <w:szCs w:val="13"/>
                <w:b w:val="1"/>
                <w:bCs w:val="1"/>
                <w:color w:val="auto"/>
              </w:rPr>
              <w:t>joint venture</w:t>
            </w:r>
          </w:p>
        </w:tc>
        <w:tc>
          <w:tcPr>
            <w:tcW w:w="30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7"/>
              <w:spacing w:after="0"/>
              <w:rPr>
                <w:sz w:val="20"/>
                <w:szCs w:val="20"/>
                <w:color w:val="auto"/>
              </w:rPr>
            </w:pPr>
            <w:r>
              <w:rPr>
                <w:rFonts w:ascii="Arial" w:cs="Arial" w:eastAsia="Arial" w:hAnsi="Arial"/>
                <w:sz w:val="13"/>
                <w:szCs w:val="13"/>
                <w:color w:val="auto"/>
              </w:rPr>
              <w:t>85,641</w:t>
            </w:r>
          </w:p>
        </w:tc>
        <w:tc>
          <w:tcPr>
            <w:tcW w:w="60" w:type="dxa"/>
            <w:vAlign w:val="bottom"/>
          </w:tcPr>
          <w:p>
            <w:pPr>
              <w:spacing w:after="0"/>
              <w:rPr>
                <w:sz w:val="19"/>
                <w:szCs w:val="19"/>
                <w:color w:val="auto"/>
              </w:rPr>
            </w:pPr>
          </w:p>
        </w:tc>
        <w:tc>
          <w:tcPr>
            <w:tcW w:w="800" w:type="dxa"/>
            <w:vAlign w:val="bottom"/>
            <w:gridSpan w:val="2"/>
          </w:tcPr>
          <w:p>
            <w:pPr>
              <w:jc w:val="right"/>
              <w:ind w:right="22"/>
              <w:spacing w:after="0" w:line="181" w:lineRule="exact"/>
              <w:rPr>
                <w:sz w:val="20"/>
                <w:szCs w:val="20"/>
                <w:color w:val="auto"/>
              </w:rPr>
            </w:pPr>
            <w:r>
              <w:rPr>
                <w:rFonts w:ascii="Arial" w:cs="Arial" w:eastAsia="Arial" w:hAnsi="Arial"/>
                <w:sz w:val="11"/>
                <w:szCs w:val="11"/>
                <w:color w:val="auto"/>
              </w:rPr>
              <w:t>22.7</w:t>
            </w:r>
            <w:r>
              <w:rPr>
                <w:rFonts w:ascii="Arial" w:cs="Arial" w:eastAsia="Arial" w:hAnsi="Arial"/>
                <w:sz w:val="20"/>
                <w:szCs w:val="20"/>
                <w:color w:val="auto"/>
                <w:vertAlign w:val="superscript"/>
              </w:rPr>
              <w:t>%</w:t>
            </w:r>
          </w:p>
        </w:tc>
        <w:tc>
          <w:tcPr>
            <w:tcW w:w="24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38"/>
              <w:spacing w:after="0" w:line="181" w:lineRule="exact"/>
              <w:rPr>
                <w:sz w:val="20"/>
                <w:szCs w:val="20"/>
                <w:color w:val="auto"/>
              </w:rPr>
            </w:pPr>
            <w:r>
              <w:rPr>
                <w:rFonts w:ascii="Arial" w:cs="Arial" w:eastAsia="Arial" w:hAnsi="Arial"/>
                <w:sz w:val="11"/>
                <w:szCs w:val="11"/>
                <w:color w:val="auto"/>
              </w:rPr>
              <w:t>(5,534</w:t>
            </w:r>
            <w:r>
              <w:rPr>
                <w:rFonts w:ascii="Arial" w:cs="Arial" w:eastAsia="Arial" w:hAnsi="Arial"/>
                <w:sz w:val="20"/>
                <w:szCs w:val="20"/>
                <w:color w:val="auto"/>
                <w:vertAlign w:val="superscript"/>
              </w:rPr>
              <w:t>)</w:t>
            </w:r>
          </w:p>
        </w:tc>
        <w:tc>
          <w:tcPr>
            <w:tcW w:w="880" w:type="dxa"/>
            <w:vAlign w:val="bottom"/>
            <w:gridSpan w:val="2"/>
          </w:tcPr>
          <w:p>
            <w:pPr>
              <w:jc w:val="right"/>
              <w:ind w:right="62"/>
              <w:spacing w:after="0" w:line="181" w:lineRule="exact"/>
              <w:rPr>
                <w:sz w:val="20"/>
                <w:szCs w:val="20"/>
                <w:color w:val="auto"/>
              </w:rPr>
            </w:pPr>
            <w:r>
              <w:rPr>
                <w:rFonts w:ascii="Arial" w:cs="Arial" w:eastAsia="Arial" w:hAnsi="Arial"/>
                <w:sz w:val="11"/>
                <w:szCs w:val="11"/>
                <w:color w:val="auto"/>
              </w:rPr>
              <w:t>-4.4</w:t>
            </w:r>
            <w:r>
              <w:rPr>
                <w:rFonts w:ascii="Arial" w:cs="Arial" w:eastAsia="Arial" w:hAnsi="Arial"/>
                <w:sz w:val="20"/>
                <w:szCs w:val="20"/>
                <w:color w:val="auto"/>
                <w:vertAlign w:val="superscript"/>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8"/>
              <w:spacing w:after="0"/>
              <w:rPr>
                <w:sz w:val="20"/>
                <w:szCs w:val="20"/>
                <w:color w:val="auto"/>
              </w:rPr>
            </w:pPr>
            <w:r>
              <w:rPr>
                <w:rFonts w:ascii="Arial" w:cs="Arial" w:eastAsia="Arial" w:hAnsi="Arial"/>
                <w:sz w:val="13"/>
                <w:szCs w:val="13"/>
                <w:color w:val="auto"/>
              </w:rPr>
              <w:t>178,356</w:t>
            </w:r>
          </w:p>
        </w:tc>
        <w:tc>
          <w:tcPr>
            <w:tcW w:w="60" w:type="dxa"/>
            <w:vAlign w:val="bottom"/>
          </w:tcPr>
          <w:p>
            <w:pPr>
              <w:spacing w:after="0"/>
              <w:rPr>
                <w:sz w:val="19"/>
                <w:szCs w:val="19"/>
                <w:color w:val="auto"/>
              </w:rPr>
            </w:pPr>
          </w:p>
        </w:tc>
        <w:tc>
          <w:tcPr>
            <w:tcW w:w="820" w:type="dxa"/>
            <w:vAlign w:val="bottom"/>
            <w:gridSpan w:val="2"/>
          </w:tcPr>
          <w:p>
            <w:pPr>
              <w:jc w:val="right"/>
              <w:ind w:right="62"/>
              <w:spacing w:after="0" w:line="181" w:lineRule="exact"/>
              <w:rPr>
                <w:sz w:val="20"/>
                <w:szCs w:val="20"/>
                <w:color w:val="auto"/>
              </w:rPr>
            </w:pPr>
            <w:r>
              <w:rPr>
                <w:rFonts w:ascii="Arial" w:cs="Arial" w:eastAsia="Arial" w:hAnsi="Arial"/>
                <w:sz w:val="11"/>
                <w:szCs w:val="11"/>
                <w:color w:val="auto"/>
              </w:rPr>
              <w:t>19.0</w:t>
            </w:r>
            <w:r>
              <w:rPr>
                <w:rFonts w:ascii="Arial" w:cs="Arial" w:eastAsia="Arial" w:hAnsi="Arial"/>
                <w:sz w:val="20"/>
                <w:szCs w:val="20"/>
                <w:color w:val="auto"/>
                <w:vertAlign w:val="superscript"/>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38"/>
              <w:spacing w:after="0" w:line="181" w:lineRule="exact"/>
              <w:rPr>
                <w:sz w:val="20"/>
                <w:szCs w:val="20"/>
                <w:color w:val="auto"/>
              </w:rPr>
            </w:pPr>
            <w:r>
              <w:rPr>
                <w:rFonts w:ascii="Arial" w:cs="Arial" w:eastAsia="Arial" w:hAnsi="Arial"/>
                <w:sz w:val="11"/>
                <w:szCs w:val="11"/>
                <w:color w:val="auto"/>
              </w:rPr>
              <w:t>(44,268</w:t>
            </w:r>
            <w:r>
              <w:rPr>
                <w:rFonts w:ascii="Arial" w:cs="Arial" w:eastAsia="Arial" w:hAnsi="Arial"/>
                <w:sz w:val="20"/>
                <w:szCs w:val="20"/>
                <w:color w:val="auto"/>
                <w:vertAlign w:val="superscript"/>
              </w:rPr>
              <w:t>)</w:t>
            </w:r>
          </w:p>
        </w:tc>
        <w:tc>
          <w:tcPr>
            <w:tcW w:w="60" w:type="dxa"/>
            <w:vAlign w:val="bottom"/>
          </w:tcPr>
          <w:p>
            <w:pPr>
              <w:spacing w:after="0"/>
              <w:rPr>
                <w:sz w:val="19"/>
                <w:szCs w:val="19"/>
                <w:color w:val="auto"/>
              </w:rPr>
            </w:pPr>
          </w:p>
        </w:tc>
        <w:tc>
          <w:tcPr>
            <w:tcW w:w="700" w:type="dxa"/>
            <w:vAlign w:val="bottom"/>
            <w:gridSpan w:val="2"/>
          </w:tcPr>
          <w:p>
            <w:pPr>
              <w:jc w:val="right"/>
              <w:spacing w:after="0" w:line="181" w:lineRule="exact"/>
              <w:rPr>
                <w:sz w:val="20"/>
                <w:szCs w:val="20"/>
                <w:color w:val="auto"/>
              </w:rPr>
            </w:pPr>
            <w:r>
              <w:rPr>
                <w:rFonts w:ascii="Arial" w:cs="Arial" w:eastAsia="Arial" w:hAnsi="Arial"/>
                <w:sz w:val="11"/>
                <w:szCs w:val="11"/>
                <w:color w:val="auto"/>
              </w:rPr>
              <w:t>-8.4</w:t>
            </w:r>
            <w:r>
              <w:rPr>
                <w:rFonts w:ascii="Arial" w:cs="Arial" w:eastAsia="Arial" w:hAnsi="Arial"/>
                <w:sz w:val="20"/>
                <w:szCs w:val="20"/>
                <w:color w:val="auto"/>
                <w:vertAlign w:val="superscript"/>
              </w:rPr>
              <w:t>%</w:t>
            </w:r>
          </w:p>
        </w:tc>
      </w:tr>
      <w:tr>
        <w:trPr>
          <w:trHeight w:val="115"/>
        </w:trPr>
        <w:tc>
          <w:tcPr>
            <w:tcW w:w="10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25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22"/>
        </w:trPr>
        <w:tc>
          <w:tcPr>
            <w:tcW w:w="1020" w:type="dxa"/>
            <w:vAlign w:val="bottom"/>
            <w:tcBorders>
              <w:bottom w:val="single" w:sz="8" w:color="auto"/>
            </w:tcBorders>
          </w:tcPr>
          <w:p>
            <w:pPr>
              <w:spacing w:after="0" w:line="122" w:lineRule="exact"/>
              <w:rPr>
                <w:sz w:val="20"/>
                <w:szCs w:val="20"/>
                <w:color w:val="auto"/>
              </w:rPr>
            </w:pPr>
            <w:r>
              <w:rPr>
                <w:rFonts w:ascii="Arial" w:cs="Arial" w:eastAsia="Arial" w:hAnsi="Arial"/>
                <w:sz w:val="13"/>
                <w:szCs w:val="13"/>
                <w:color w:val="auto"/>
                <w:w w:val="88"/>
              </w:rPr>
              <w:t>Hospitality segment</w:t>
            </w:r>
          </w:p>
        </w:tc>
        <w:tc>
          <w:tcPr>
            <w:tcW w:w="304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8"/>
        </w:trPr>
        <w:tc>
          <w:tcPr>
            <w:tcW w:w="4060" w:type="dxa"/>
            <w:vAlign w:val="bottom"/>
            <w:gridSpan w:val="4"/>
            <w:shd w:val="clear" w:color="auto" w:fill="CCEEFF"/>
          </w:tcPr>
          <w:p>
            <w:pPr>
              <w:ind w:left="180"/>
              <w:spacing w:after="0" w:line="129" w:lineRule="exact"/>
              <w:rPr>
                <w:sz w:val="20"/>
                <w:szCs w:val="20"/>
                <w:color w:val="auto"/>
              </w:rPr>
            </w:pPr>
            <w:r>
              <w:rPr>
                <w:rFonts w:ascii="Arial" w:cs="Arial" w:eastAsia="Arial" w:hAnsi="Arial"/>
                <w:sz w:val="13"/>
                <w:szCs w:val="13"/>
                <w:b w:val="1"/>
                <w:bCs w:val="1"/>
                <w:color w:val="auto"/>
              </w:rPr>
              <w:t>Revenue</w:t>
            </w:r>
          </w:p>
        </w:tc>
        <w:tc>
          <w:tcPr>
            <w:tcW w:w="300" w:type="dxa"/>
            <w:vAlign w:val="bottom"/>
            <w:gridSpan w:val="2"/>
            <w:shd w:val="clear" w:color="auto" w:fill="CCEEFF"/>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7"/>
              <w:spacing w:after="0" w:line="129" w:lineRule="exact"/>
              <w:rPr>
                <w:sz w:val="20"/>
                <w:szCs w:val="20"/>
                <w:color w:val="auto"/>
              </w:rPr>
            </w:pPr>
            <w:r>
              <w:rPr>
                <w:rFonts w:ascii="Arial" w:cs="Arial" w:eastAsia="Arial" w:hAnsi="Arial"/>
                <w:sz w:val="13"/>
                <w:szCs w:val="13"/>
                <w:color w:val="auto"/>
              </w:rPr>
              <w:t>323,240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78"/>
              <w:spacing w:after="0" w:line="129" w:lineRule="exact"/>
              <w:rPr>
                <w:sz w:val="20"/>
                <w:szCs w:val="20"/>
                <w:color w:val="auto"/>
              </w:rPr>
            </w:pPr>
            <w:r>
              <w:rPr>
                <w:rFonts w:ascii="Arial" w:cs="Arial" w:eastAsia="Arial" w:hAnsi="Arial"/>
                <w:sz w:val="13"/>
                <w:szCs w:val="13"/>
                <w:color w:val="auto"/>
              </w:rPr>
              <w:t>112,091</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8"/>
              <w:spacing w:after="0" w:line="129" w:lineRule="exact"/>
              <w:rPr>
                <w:sz w:val="20"/>
                <w:szCs w:val="20"/>
                <w:color w:val="auto"/>
              </w:rPr>
            </w:pPr>
            <w:r>
              <w:rPr>
                <w:rFonts w:ascii="Arial" w:cs="Arial" w:eastAsia="Arial" w:hAnsi="Arial"/>
                <w:sz w:val="13"/>
                <w:szCs w:val="13"/>
                <w:color w:val="auto"/>
              </w:rPr>
              <w:t>786,583</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78"/>
              <w:spacing w:after="0" w:line="129" w:lineRule="exact"/>
              <w:rPr>
                <w:sz w:val="20"/>
                <w:szCs w:val="20"/>
                <w:color w:val="auto"/>
              </w:rPr>
            </w:pPr>
            <w:r>
              <w:rPr>
                <w:rFonts w:ascii="Arial" w:cs="Arial" w:eastAsia="Arial" w:hAnsi="Arial"/>
                <w:sz w:val="13"/>
                <w:szCs w:val="13"/>
                <w:color w:val="auto"/>
              </w:rPr>
              <w:t>466,045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ind w:left="180"/>
              <w:spacing w:after="0" w:line="135" w:lineRule="exact"/>
              <w:rPr>
                <w:sz w:val="20"/>
                <w:szCs w:val="20"/>
                <w:color w:val="auto"/>
              </w:rPr>
            </w:pPr>
            <w:r>
              <w:rPr>
                <w:rFonts w:ascii="Arial" w:cs="Arial" w:eastAsia="Arial" w:hAnsi="Arial"/>
                <w:sz w:val="13"/>
                <w:szCs w:val="13"/>
                <w:b w:val="1"/>
                <w:bCs w:val="1"/>
                <w:color w:val="auto"/>
              </w:rPr>
              <w:t>Operating income (loss)</w:t>
            </w:r>
          </w:p>
        </w:tc>
        <w:tc>
          <w:tcPr>
            <w:tcW w:w="30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27,833</w:t>
            </w:r>
          </w:p>
        </w:tc>
        <w:tc>
          <w:tcPr>
            <w:tcW w:w="60" w:type="dxa"/>
            <w:vAlign w:val="bottom"/>
          </w:tcPr>
          <w:p>
            <w:pPr>
              <w:spacing w:after="0"/>
              <w:rPr>
                <w:sz w:val="11"/>
                <w:szCs w:val="11"/>
                <w:color w:val="auto"/>
              </w:rPr>
            </w:pPr>
          </w:p>
        </w:tc>
        <w:tc>
          <w:tcPr>
            <w:tcW w:w="8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8.6%</w:t>
            </w:r>
          </w:p>
        </w:tc>
        <w:tc>
          <w:tcPr>
            <w:tcW w:w="24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(50,389)</w:t>
            </w:r>
          </w:p>
        </w:tc>
        <w:tc>
          <w:tcPr>
            <w:tcW w:w="88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-45.0%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(38,427)</w:t>
            </w:r>
          </w:p>
        </w:tc>
        <w:tc>
          <w:tcPr>
            <w:tcW w:w="60" w:type="dxa"/>
            <w:vAlign w:val="bottom"/>
          </w:tcPr>
          <w:p>
            <w:pPr>
              <w:spacing w:after="0"/>
              <w:rPr>
                <w:sz w:val="11"/>
                <w:szCs w:val="11"/>
                <w:color w:val="auto"/>
              </w:rPr>
            </w:pPr>
          </w:p>
        </w:tc>
        <w:tc>
          <w:tcPr>
            <w:tcW w:w="82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-4.9%</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(236,790)</w:t>
            </w:r>
          </w:p>
        </w:tc>
        <w:tc>
          <w:tcPr>
            <w:tcW w:w="6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-50.8%</w:t>
            </w: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Depreciation &amp; amortization</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52,020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49,406</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203,675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198,073</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(Gain) loss on sale of assets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85</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(317)</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(1,176)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Preopening costs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69</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731</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314</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Non-cash lease expense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1,102</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1,132</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4,409</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4,479</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Credit loss on held-to-maturity securities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32,784</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Interest income on Gaylord National bonds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1,388</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1,488</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5,502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6,171</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Transaction costs of acquisitions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75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4060" w:type="dxa"/>
            <w:vAlign w:val="bottom"/>
            <w:gridSpan w:val="4"/>
          </w:tcPr>
          <w:p>
            <w:pPr>
              <w:spacing w:after="0"/>
              <w:rPr>
                <w:sz w:val="20"/>
                <w:szCs w:val="20"/>
                <w:color w:val="auto"/>
              </w:rPr>
            </w:pPr>
            <w:r>
              <w:rPr>
                <w:rFonts w:ascii="Arial" w:cs="Arial" w:eastAsia="Arial" w:hAnsi="Arial"/>
                <w:sz w:val="13"/>
                <w:szCs w:val="13"/>
                <w:color w:val="auto"/>
              </w:rPr>
              <w:t>Other gains and (losses), net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2,846</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060" w:type="dxa"/>
            <w:vAlign w:val="bottom"/>
            <w:tcBorders>
              <w:top w:val="single" w:sz="8" w:color="CCEEFF"/>
              <w:bottom w:val="single" w:sz="8" w:color="CCEEFF"/>
            </w:tcBorders>
            <w:gridSpan w:val="4"/>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3"/>
                <w:szCs w:val="13"/>
                <w:b w:val="1"/>
                <w:bCs w:val="1"/>
                <w:i w:val="1"/>
                <w:iCs w:val="1"/>
                <w:color w:val="auto"/>
              </w:rPr>
              <w:t>re</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82,343</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25.5</w:t>
            </w:r>
          </w:p>
        </w:tc>
        <w:tc>
          <w:tcPr>
            <w:tcW w:w="18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74"/>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1,791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w:t>
            </w:r>
          </w:p>
        </w:tc>
        <w:tc>
          <w:tcPr>
            <w:tcW w:w="22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74"/>
              </w:rPr>
              <w:t>%</w:t>
            </w: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175,648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22.3</w:t>
            </w:r>
          </w:p>
        </w:tc>
        <w:tc>
          <w:tcPr>
            <w:tcW w:w="22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74"/>
              </w:rPr>
              <w:t>%</w:t>
            </w: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6,701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180" w:type="dxa"/>
            <w:vAlign w:val="bottom"/>
            <w:tcBorders>
              <w:bottom w:val="single" w:sz="8" w:color="auto"/>
            </w:tcBorders>
            <w:gridSpan w:val="2"/>
            <w:shd w:val="clear" w:color="auto" w:fill="CCEEFF"/>
          </w:tcPr>
          <w:p>
            <w:pPr>
              <w:spacing w:after="0" w:line="122" w:lineRule="exact"/>
              <w:rPr>
                <w:sz w:val="20"/>
                <w:szCs w:val="20"/>
                <w:color w:val="auto"/>
              </w:rPr>
            </w:pPr>
            <w:r>
              <w:rPr>
                <w:rFonts w:ascii="Arial" w:cs="Arial" w:eastAsia="Arial" w:hAnsi="Arial"/>
                <w:sz w:val="13"/>
                <w:szCs w:val="13"/>
                <w:color w:val="auto"/>
                <w:w w:val="86"/>
              </w:rPr>
              <w:t>Entertainment segment</w:t>
            </w:r>
          </w:p>
        </w:tc>
        <w:tc>
          <w:tcPr>
            <w:tcW w:w="2880" w:type="dxa"/>
            <w:vAlign w:val="bottom"/>
            <w:tcBorders>
              <w:bottom w:val="single" w:sz="8" w:color="CCEEFF"/>
            </w:tcBorders>
            <w:gridSpan w:val="2"/>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r>
      <w:tr>
        <w:trPr>
          <w:trHeight w:val="128"/>
        </w:trPr>
        <w:tc>
          <w:tcPr>
            <w:tcW w:w="4060" w:type="dxa"/>
            <w:vAlign w:val="bottom"/>
            <w:gridSpan w:val="4"/>
          </w:tcPr>
          <w:p>
            <w:pPr>
              <w:ind w:left="180"/>
              <w:spacing w:after="0" w:line="129" w:lineRule="exact"/>
              <w:rPr>
                <w:sz w:val="20"/>
                <w:szCs w:val="20"/>
                <w:color w:val="auto"/>
              </w:rPr>
            </w:pPr>
            <w:r>
              <w:rPr>
                <w:rFonts w:ascii="Arial" w:cs="Arial" w:eastAsia="Arial" w:hAnsi="Arial"/>
                <w:sz w:val="13"/>
                <w:szCs w:val="13"/>
                <w:b w:val="1"/>
                <w:bCs w:val="1"/>
                <w:color w:val="auto"/>
              </w:rPr>
              <w:t>Revenue</w:t>
            </w:r>
          </w:p>
        </w:tc>
        <w:tc>
          <w:tcPr>
            <w:tcW w:w="300" w:type="dxa"/>
            <w:vAlign w:val="bottom"/>
            <w:gridSpan w:val="2"/>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7"/>
              <w:spacing w:after="0" w:line="129" w:lineRule="exact"/>
              <w:rPr>
                <w:sz w:val="20"/>
                <w:szCs w:val="20"/>
                <w:color w:val="auto"/>
              </w:rPr>
            </w:pPr>
            <w:r>
              <w:rPr>
                <w:rFonts w:ascii="Arial" w:cs="Arial" w:eastAsia="Arial" w:hAnsi="Arial"/>
                <w:sz w:val="13"/>
                <w:szCs w:val="13"/>
                <w:color w:val="auto"/>
              </w:rPr>
              <w:t>54,191</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gridSpan w:val="2"/>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78"/>
              <w:spacing w:after="0" w:line="129" w:lineRule="exact"/>
              <w:rPr>
                <w:sz w:val="20"/>
                <w:szCs w:val="20"/>
                <w:color w:val="auto"/>
              </w:rPr>
            </w:pPr>
            <w:r>
              <w:rPr>
                <w:rFonts w:ascii="Arial" w:cs="Arial" w:eastAsia="Arial" w:hAnsi="Arial"/>
                <w:sz w:val="13"/>
                <w:szCs w:val="13"/>
                <w:color w:val="auto"/>
              </w:rPr>
              <w:t>14,424</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8"/>
              <w:spacing w:after="0" w:line="129" w:lineRule="exact"/>
              <w:rPr>
                <w:sz w:val="20"/>
                <w:szCs w:val="20"/>
                <w:color w:val="auto"/>
              </w:rPr>
            </w:pPr>
            <w:r>
              <w:rPr>
                <w:rFonts w:ascii="Arial" w:cs="Arial" w:eastAsia="Arial" w:hAnsi="Arial"/>
                <w:sz w:val="13"/>
                <w:szCs w:val="13"/>
                <w:color w:val="auto"/>
              </w:rPr>
              <w:t>152,790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78"/>
              <w:spacing w:after="0" w:line="129" w:lineRule="exact"/>
              <w:rPr>
                <w:sz w:val="20"/>
                <w:szCs w:val="20"/>
                <w:color w:val="auto"/>
              </w:rPr>
            </w:pPr>
            <w:r>
              <w:rPr>
                <w:rFonts w:ascii="Arial" w:cs="Arial" w:eastAsia="Arial" w:hAnsi="Arial"/>
                <w:sz w:val="13"/>
                <w:szCs w:val="13"/>
                <w:color w:val="auto"/>
              </w:rPr>
              <w:t>58,430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Operating income (loss)</w:t>
            </w:r>
          </w:p>
        </w:tc>
        <w:tc>
          <w:tcPr>
            <w:tcW w:w="30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10,305</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19.0%</w:t>
            </w:r>
          </w:p>
        </w:tc>
        <w:tc>
          <w:tcPr>
            <w:tcW w:w="24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(7,624)</w:t>
            </w:r>
          </w:p>
        </w:tc>
        <w:tc>
          <w:tcPr>
            <w:tcW w:w="88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-52.9%</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20,376</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(35,608)</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-60.9%</w:t>
            </w: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Depreciation &amp; amortization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3,927</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3,879</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14,655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14,371</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Loss on disposal of assets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15</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spacing w:after="0" w:line="135" w:lineRule="exact"/>
              <w:rPr>
                <w:sz w:val="20"/>
                <w:szCs w:val="20"/>
                <w:color w:val="auto"/>
              </w:rPr>
            </w:pPr>
            <w:r>
              <w:rPr>
                <w:rFonts w:ascii="Arial" w:cs="Arial" w:eastAsia="Arial" w:hAnsi="Arial"/>
                <w:sz w:val="13"/>
                <w:szCs w:val="13"/>
                <w:color w:val="auto"/>
              </w:rPr>
              <w:t>Preopening costs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(1)</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1,351</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Non-cash lease (revenue) expense</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19</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(16)</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(34)</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Equity-based compensation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654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392</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2,456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1,465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Transaction costs of acquisitions (1)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150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285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437</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4060" w:type="dxa"/>
            <w:vAlign w:val="bottom"/>
            <w:gridSpan w:val="4"/>
          </w:tcPr>
          <w:p>
            <w:pPr>
              <w:ind w:left="340"/>
              <w:spacing w:after="0"/>
              <w:rPr>
                <w:sz w:val="20"/>
                <w:szCs w:val="20"/>
                <w:color w:val="auto"/>
              </w:rPr>
            </w:pPr>
            <w:r>
              <w:rPr>
                <w:rFonts w:ascii="Arial" w:cs="Arial" w:eastAsia="Arial" w:hAnsi="Arial"/>
                <w:sz w:val="13"/>
                <w:szCs w:val="13"/>
                <w:color w:val="auto"/>
              </w:rPr>
              <w:t>Pro rata adjusted EBITDA</w:t>
            </w:r>
            <w:r>
              <w:rPr>
                <w:rFonts w:ascii="Arial" w:cs="Arial" w:eastAsia="Arial" w:hAnsi="Arial"/>
                <w:sz w:val="13"/>
                <w:szCs w:val="13"/>
                <w:i w:val="1"/>
                <w:iCs w:val="1"/>
                <w:color w:val="auto"/>
              </w:rPr>
              <w:t>re</w:t>
            </w:r>
            <w:r>
              <w:rPr>
                <w:rFonts w:ascii="Arial" w:cs="Arial" w:eastAsia="Arial" w:hAnsi="Arial"/>
                <w:sz w:val="13"/>
                <w:szCs w:val="13"/>
                <w:color w:val="auto"/>
              </w:rPr>
              <w:t xml:space="preserve"> from unconsolidated joint ventures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37"/>
              <w:spacing w:after="0"/>
              <w:rPr>
                <w:sz w:val="20"/>
                <w:szCs w:val="20"/>
                <w:color w:val="auto"/>
              </w:rPr>
            </w:pPr>
            <w:r>
              <w:rPr>
                <w:rFonts w:ascii="Arial" w:cs="Arial" w:eastAsia="Arial" w:hAnsi="Arial"/>
                <w:sz w:val="13"/>
                <w:szCs w:val="13"/>
                <w:color w:val="auto"/>
              </w:rPr>
              <w:t>(3,112)</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38"/>
              <w:spacing w:after="0"/>
              <w:rPr>
                <w:sz w:val="20"/>
                <w:szCs w:val="20"/>
                <w:color w:val="auto"/>
              </w:rPr>
            </w:pPr>
            <w:r>
              <w:rPr>
                <w:rFonts w:ascii="Arial" w:cs="Arial" w:eastAsia="Arial" w:hAnsi="Arial"/>
                <w:sz w:val="13"/>
                <w:szCs w:val="13"/>
                <w:color w:val="auto"/>
              </w:rPr>
              <w:t>(937)</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8"/>
              <w:spacing w:after="0"/>
              <w:rPr>
                <w:sz w:val="20"/>
                <w:szCs w:val="20"/>
                <w:color w:val="auto"/>
              </w:rPr>
            </w:pPr>
            <w:r>
              <w:rPr>
                <w:rFonts w:ascii="Arial" w:cs="Arial" w:eastAsia="Arial" w:hAnsi="Arial"/>
                <w:sz w:val="13"/>
                <w:szCs w:val="13"/>
                <w:color w:val="auto"/>
              </w:rPr>
              <w:t>(8,890)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8"/>
              <w:spacing w:after="0"/>
              <w:rPr>
                <w:sz w:val="20"/>
                <w:szCs w:val="20"/>
                <w:color w:val="auto"/>
              </w:rPr>
            </w:pPr>
            <w:r>
              <w:rPr>
                <w:rFonts w:ascii="Arial" w:cs="Arial" w:eastAsia="Arial" w:hAnsi="Arial"/>
                <w:sz w:val="13"/>
                <w:szCs w:val="13"/>
                <w:color w:val="auto"/>
              </w:rPr>
              <w:t>(6,403)</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060" w:type="dxa"/>
            <w:vAlign w:val="bottom"/>
            <w:tcBorders>
              <w:top w:val="single" w:sz="8" w:color="CCEEFF"/>
              <w:bottom w:val="single" w:sz="8" w:color="CCEEFF"/>
            </w:tcBorders>
            <w:gridSpan w:val="4"/>
            <w:shd w:val="clear" w:color="auto" w:fill="CCEEFF"/>
          </w:tcPr>
          <w:p>
            <w:pPr>
              <w:ind w:left="180"/>
              <w:spacing w:after="0" w:line="142"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3"/>
                <w:szCs w:val="13"/>
                <w:b w:val="1"/>
                <w:bCs w:val="1"/>
                <w:i w:val="1"/>
                <w:iCs w:val="1"/>
                <w:color w:val="auto"/>
              </w:rPr>
              <w:t>re</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11,946</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22.0</w:t>
            </w:r>
          </w:p>
        </w:tc>
        <w:tc>
          <w:tcPr>
            <w:tcW w:w="18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74"/>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(4,292</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-29.8</w:t>
            </w:r>
          </w:p>
        </w:tc>
        <w:tc>
          <w:tcPr>
            <w:tcW w:w="22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74"/>
              </w:rPr>
              <w:t>%</w:t>
            </w: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28,854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18.9</w:t>
            </w:r>
          </w:p>
        </w:tc>
        <w:tc>
          <w:tcPr>
            <w:tcW w:w="22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74"/>
              </w:rPr>
              <w:t>%</w:t>
            </w: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(24,377</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500" w:type="dxa"/>
            <w:vAlign w:val="bottom"/>
            <w:tcBorders>
              <w:bottom w:val="single" w:sz="8" w:color="auto"/>
            </w:tcBorders>
            <w:gridSpan w:val="3"/>
            <w:shd w:val="clear" w:color="auto" w:fill="CCEEFF"/>
          </w:tcPr>
          <w:p>
            <w:pPr>
              <w:spacing w:after="0" w:line="122" w:lineRule="exact"/>
              <w:rPr>
                <w:sz w:val="20"/>
                <w:szCs w:val="20"/>
                <w:color w:val="auto"/>
              </w:rPr>
            </w:pPr>
            <w:r>
              <w:rPr>
                <w:rFonts w:ascii="Arial" w:cs="Arial" w:eastAsia="Arial" w:hAnsi="Arial"/>
                <w:sz w:val="13"/>
                <w:szCs w:val="13"/>
                <w:color w:val="auto"/>
                <w:w w:val="85"/>
              </w:rPr>
              <w:t>Corporate and Other segment</w:t>
            </w:r>
          </w:p>
        </w:tc>
        <w:tc>
          <w:tcPr>
            <w:tcW w:w="25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r>
      <w:tr>
        <w:trPr>
          <w:trHeight w:val="128"/>
        </w:trPr>
        <w:tc>
          <w:tcPr>
            <w:tcW w:w="4060" w:type="dxa"/>
            <w:vAlign w:val="bottom"/>
            <w:gridSpan w:val="4"/>
          </w:tcPr>
          <w:p>
            <w:pPr>
              <w:ind w:left="180"/>
              <w:spacing w:after="0" w:line="129" w:lineRule="exact"/>
              <w:rPr>
                <w:sz w:val="20"/>
                <w:szCs w:val="20"/>
                <w:color w:val="auto"/>
              </w:rPr>
            </w:pPr>
            <w:r>
              <w:rPr>
                <w:rFonts w:ascii="Arial" w:cs="Arial" w:eastAsia="Arial" w:hAnsi="Arial"/>
                <w:sz w:val="13"/>
                <w:szCs w:val="13"/>
                <w:b w:val="1"/>
                <w:bCs w:val="1"/>
                <w:color w:val="auto"/>
              </w:rPr>
              <w:t>Operating loss</w:t>
            </w:r>
          </w:p>
        </w:tc>
        <w:tc>
          <w:tcPr>
            <w:tcW w:w="300" w:type="dxa"/>
            <w:vAlign w:val="bottom"/>
            <w:gridSpan w:val="2"/>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37"/>
              <w:spacing w:after="0" w:line="129" w:lineRule="exact"/>
              <w:rPr>
                <w:sz w:val="20"/>
                <w:szCs w:val="20"/>
                <w:color w:val="auto"/>
              </w:rPr>
            </w:pPr>
            <w:r>
              <w:rPr>
                <w:rFonts w:ascii="Arial" w:cs="Arial" w:eastAsia="Arial" w:hAnsi="Arial"/>
                <w:sz w:val="13"/>
                <w:szCs w:val="13"/>
                <w:color w:val="auto"/>
              </w:rPr>
              <w:t>(12,004)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gridSpan w:val="2"/>
          </w:tcPr>
          <w:p>
            <w:pPr>
              <w:jc w:val="right"/>
              <w:ind w:right="68"/>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38"/>
              <w:spacing w:after="0" w:line="129" w:lineRule="exact"/>
              <w:rPr>
                <w:sz w:val="20"/>
                <w:szCs w:val="20"/>
                <w:color w:val="auto"/>
              </w:rPr>
            </w:pPr>
            <w:r>
              <w:rPr>
                <w:rFonts w:ascii="Arial" w:cs="Arial" w:eastAsia="Arial" w:hAnsi="Arial"/>
                <w:sz w:val="13"/>
                <w:szCs w:val="13"/>
                <w:color w:val="auto"/>
              </w:rPr>
              <w:t>(6,667)</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8"/>
              <w:spacing w:after="0" w:line="129" w:lineRule="exact"/>
              <w:rPr>
                <w:sz w:val="20"/>
                <w:szCs w:val="20"/>
                <w:color w:val="auto"/>
              </w:rPr>
            </w:pPr>
            <w:r>
              <w:rPr>
                <w:rFonts w:ascii="Arial" w:cs="Arial" w:eastAsia="Arial" w:hAnsi="Arial"/>
                <w:sz w:val="13"/>
                <w:szCs w:val="13"/>
                <w:color w:val="auto"/>
              </w:rPr>
              <w:t>(40,624)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38"/>
              <w:spacing w:after="0" w:line="129" w:lineRule="exact"/>
              <w:rPr>
                <w:sz w:val="20"/>
                <w:szCs w:val="20"/>
                <w:color w:val="auto"/>
              </w:rPr>
            </w:pPr>
            <w:r>
              <w:rPr>
                <w:rFonts w:ascii="Arial" w:cs="Arial" w:eastAsia="Arial" w:hAnsi="Arial"/>
                <w:sz w:val="13"/>
                <w:szCs w:val="13"/>
                <w:color w:val="auto"/>
              </w:rPr>
              <w:t>(31,433)</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Depreciation &amp; amortization</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329</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565</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2,027</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2,638</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060" w:type="dxa"/>
            <w:vAlign w:val="bottom"/>
            <w:gridSpan w:val="4"/>
          </w:tcPr>
          <w:p>
            <w:pPr>
              <w:ind w:left="340"/>
              <w:spacing w:after="0" w:line="135" w:lineRule="exact"/>
              <w:rPr>
                <w:sz w:val="20"/>
                <w:szCs w:val="20"/>
                <w:color w:val="auto"/>
              </w:rPr>
            </w:pPr>
            <w:r>
              <w:rPr>
                <w:rFonts w:ascii="Arial" w:cs="Arial" w:eastAsia="Arial" w:hAnsi="Arial"/>
                <w:sz w:val="13"/>
                <w:szCs w:val="13"/>
                <w:color w:val="auto"/>
              </w:rPr>
              <w:t>Other gains and (losses), net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151</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(144)</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68"/>
              <w:spacing w:after="0" w:line="135" w:lineRule="exact"/>
              <w:rPr>
                <w:sz w:val="20"/>
                <w:szCs w:val="20"/>
                <w:color w:val="auto"/>
              </w:rPr>
            </w:pPr>
            <w:r>
              <w:rPr>
                <w:rFonts w:ascii="Arial" w:cs="Arial" w:eastAsia="Arial" w:hAnsi="Arial"/>
                <w:sz w:val="13"/>
                <w:szCs w:val="13"/>
                <w:color w:val="auto"/>
              </w:rPr>
              <w:t>407</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(2,815)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gridSpan w:val="4"/>
            <w:shd w:val="clear" w:color="auto" w:fill="CCEEFF"/>
          </w:tcPr>
          <w:p>
            <w:pPr>
              <w:ind w:left="340"/>
              <w:spacing w:after="0" w:line="135" w:lineRule="exact"/>
              <w:rPr>
                <w:sz w:val="20"/>
                <w:szCs w:val="20"/>
                <w:color w:val="auto"/>
              </w:rPr>
            </w:pPr>
            <w:r>
              <w:rPr>
                <w:rFonts w:ascii="Arial" w:cs="Arial" w:eastAsia="Arial" w:hAnsi="Arial"/>
                <w:sz w:val="13"/>
                <w:szCs w:val="13"/>
                <w:color w:val="auto"/>
              </w:rPr>
              <w:t>Equity-based compensation</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2,506</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1,717</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3"/>
                <w:szCs w:val="13"/>
                <w:color w:val="auto"/>
              </w:rPr>
              <w:t>9,648</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7,267</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4060" w:type="dxa"/>
            <w:vAlign w:val="bottom"/>
            <w:gridSpan w:val="4"/>
          </w:tcPr>
          <w:p>
            <w:pPr>
              <w:ind w:left="340"/>
              <w:spacing w:after="0"/>
              <w:rPr>
                <w:sz w:val="20"/>
                <w:szCs w:val="20"/>
                <w:color w:val="auto"/>
              </w:rPr>
            </w:pPr>
            <w:r>
              <w:rPr>
                <w:rFonts w:ascii="Arial" w:cs="Arial" w:eastAsia="Arial" w:hAnsi="Arial"/>
                <w:sz w:val="13"/>
                <w:szCs w:val="13"/>
                <w:color w:val="auto"/>
              </w:rPr>
              <w:t>Pension settlement charge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97"/>
              <w:spacing w:after="0"/>
              <w:rPr>
                <w:sz w:val="20"/>
                <w:szCs w:val="20"/>
                <w:color w:val="auto"/>
              </w:rPr>
            </w:pPr>
            <w:r>
              <w:rPr>
                <w:rFonts w:ascii="Arial" w:cs="Arial" w:eastAsia="Arial" w:hAnsi="Arial"/>
                <w:sz w:val="13"/>
                <w:szCs w:val="13"/>
                <w:color w:val="auto"/>
              </w:rPr>
              <w:t>370</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397</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3"/>
                <w:szCs w:val="13"/>
                <w:color w:val="auto"/>
              </w:rPr>
              <w:t>1,379</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1,740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060" w:type="dxa"/>
            <w:vAlign w:val="bottom"/>
            <w:tcBorders>
              <w:top w:val="single" w:sz="8" w:color="CCEEFF"/>
              <w:bottom w:val="single" w:sz="8" w:color="CCEEFF"/>
            </w:tcBorders>
            <w:gridSpan w:val="4"/>
            <w:shd w:val="clear" w:color="auto" w:fill="CCEEFF"/>
          </w:tcPr>
          <w:p>
            <w:pPr>
              <w:ind w:left="180"/>
              <w:spacing w:after="0" w:line="142"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3"/>
                <w:szCs w:val="13"/>
                <w:b w:val="1"/>
                <w:bCs w:val="1"/>
                <w:i w:val="1"/>
                <w:iCs w:val="1"/>
                <w:color w:val="auto"/>
              </w:rPr>
              <w:t>re</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(8,648</w:t>
            </w:r>
          </w:p>
        </w:tc>
        <w:tc>
          <w:tcPr>
            <w:tcW w:w="26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(4,132</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(27,163</w:t>
            </w:r>
          </w:p>
        </w:tc>
        <w:tc>
          <w:tcPr>
            <w:tcW w:w="220" w:type="dxa"/>
            <w:vAlign w:val="bottom"/>
            <w:tcBorders>
              <w:top w:val="single" w:sz="8" w:color="CCEEFF"/>
              <w:bottom w:val="single" w:sz="8" w:color="CCEEFF"/>
            </w:tcBorders>
            <w:shd w:val="clear" w:color="auto" w:fill="CCEEFF"/>
          </w:tcPr>
          <w:p>
            <w:pPr>
              <w:jc w:val="right"/>
              <w:ind w:right="12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(22,603</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Twelve months ended December 31, 2020 excludes $15.0 million of forfeited deposit on terminated Block 21 acquisition recorded in Other Gains (Losses), Net</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FUNDS FROM OPERATIONS ("FFO") AND ADJUSTED FFO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6"/>
          </w:tcPr>
          <w:p>
            <w:pPr>
              <w:jc w:val="right"/>
              <w:ind w:right="361"/>
              <w:spacing w:after="0"/>
              <w:rPr>
                <w:sz w:val="20"/>
                <w:szCs w:val="20"/>
                <w:color w:val="auto"/>
              </w:rPr>
            </w:pPr>
            <w:r>
              <w:rPr>
                <w:rFonts w:ascii="Arial" w:cs="Arial" w:eastAsia="Arial" w:hAnsi="Arial"/>
                <w:sz w:val="18"/>
                <w:szCs w:val="18"/>
                <w:b w:val="1"/>
                <w:bCs w:val="1"/>
                <w:color w:val="auto"/>
                <w:w w:val="92"/>
              </w:rPr>
              <w:t>Three Months Ended Dec. 31,</w:t>
            </w:r>
          </w:p>
        </w:tc>
        <w:tc>
          <w:tcPr>
            <w:tcW w:w="120" w:type="dxa"/>
            <w:vAlign w:val="bottom"/>
          </w:tcPr>
          <w:p>
            <w:pPr>
              <w:spacing w:after="0"/>
              <w:rPr>
                <w:sz w:val="20"/>
                <w:szCs w:val="20"/>
                <w:color w:val="auto"/>
              </w:rPr>
            </w:pPr>
          </w:p>
        </w:tc>
        <w:tc>
          <w:tcPr>
            <w:tcW w:w="2660" w:type="dxa"/>
            <w:vAlign w:val="bottom"/>
            <w:gridSpan w:val="6"/>
          </w:tcPr>
          <w:p>
            <w:pPr>
              <w:jc w:val="right"/>
              <w:ind w:right="181"/>
              <w:spacing w:after="0"/>
              <w:rPr>
                <w:sz w:val="20"/>
                <w:szCs w:val="20"/>
                <w:color w:val="auto"/>
              </w:rPr>
            </w:pPr>
            <w:r>
              <w:rPr>
                <w:rFonts w:ascii="Arial" w:cs="Arial" w:eastAsia="Arial" w:hAnsi="Arial"/>
                <w:sz w:val="18"/>
                <w:szCs w:val="18"/>
                <w:b w:val="1"/>
                <w:bCs w:val="1"/>
                <w:color w:val="auto"/>
                <w:w w:val="90"/>
              </w:rPr>
              <w:t>Twelve Months Ended Dec. 31,</w:t>
            </w:r>
          </w:p>
        </w:tc>
      </w:tr>
      <w:tr>
        <w:trPr>
          <w:trHeight w:val="223"/>
        </w:trPr>
        <w:tc>
          <w:tcPr>
            <w:tcW w:w="96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190"/>
        </w:trPr>
        <w:tc>
          <w:tcPr>
            <w:tcW w:w="9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Consolidated</w:t>
            </w:r>
          </w:p>
        </w:tc>
        <w:tc>
          <w:tcPr>
            <w:tcW w:w="444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5400" w:type="dxa"/>
            <w:vAlign w:val="bottom"/>
            <w:gridSpan w:val="3"/>
          </w:tcPr>
          <w:p>
            <w:pPr>
              <w:ind w:left="180"/>
              <w:spacing w:after="0"/>
              <w:rPr>
                <w:sz w:val="20"/>
                <w:szCs w:val="20"/>
                <w:color w:val="auto"/>
              </w:rPr>
            </w:pPr>
            <w:r>
              <w:rPr>
                <w:rFonts w:ascii="Arial" w:cs="Arial" w:eastAsia="Arial" w:hAnsi="Arial"/>
                <w:sz w:val="18"/>
                <w:szCs w:val="18"/>
                <w:b w:val="1"/>
                <w:bCs w:val="1"/>
                <w:color w:val="auto"/>
              </w:rPr>
              <w:t>Net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(6,024)</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(92,549)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(194,801)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(460,821)</w:t>
            </w:r>
          </w:p>
        </w:tc>
      </w:tr>
      <w:tr>
        <w:trPr>
          <w:trHeight w:val="229"/>
        </w:trPr>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Noncontrolling interest in consolidated joint venture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12,194</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16,501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42,474</w:t>
            </w:r>
          </w:p>
        </w:tc>
      </w:tr>
      <w:tr>
        <w:trPr>
          <w:trHeight w:val="210"/>
        </w:trPr>
        <w:tc>
          <w:tcPr>
            <w:tcW w:w="5400" w:type="dxa"/>
            <w:vAlign w:val="bottom"/>
            <w:gridSpan w:val="3"/>
          </w:tcPr>
          <w:p>
            <w:pPr>
              <w:ind w:left="180"/>
              <w:spacing w:after="0"/>
              <w:rPr>
                <w:sz w:val="20"/>
                <w:szCs w:val="20"/>
                <w:color w:val="auto"/>
              </w:rPr>
            </w:pPr>
            <w:r>
              <w:rPr>
                <w:rFonts w:ascii="Arial" w:cs="Arial" w:eastAsia="Arial" w:hAnsi="Arial"/>
                <w:sz w:val="18"/>
                <w:szCs w:val="18"/>
                <w:b w:val="1"/>
                <w:bCs w:val="1"/>
                <w:color w:val="auto"/>
              </w:rPr>
              <w:t>Net loss available to common shareholders and unit holders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(80,355)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(418,347)</w:t>
            </w:r>
          </w:p>
        </w:tc>
        <w:tc>
          <w:tcPr>
            <w:tcW w:w="10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Depreciation &amp; amortization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56,242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53,813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220,211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214,933</w:t>
            </w:r>
          </w:p>
        </w:tc>
      </w:tr>
      <w:tr>
        <w:trPr>
          <w:trHeight w:val="216"/>
        </w:trPr>
        <w:tc>
          <w:tcPr>
            <w:tcW w:w="5400" w:type="dxa"/>
            <w:vAlign w:val="bottom"/>
            <w:gridSpan w:val="3"/>
          </w:tcPr>
          <w:p>
            <w:pPr>
              <w:ind w:left="360"/>
              <w:spacing w:after="0"/>
              <w:rPr>
                <w:sz w:val="20"/>
                <w:szCs w:val="20"/>
                <w:color w:val="auto"/>
              </w:rPr>
            </w:pPr>
            <w:r>
              <w:rPr>
                <w:rFonts w:ascii="Arial" w:cs="Arial" w:eastAsia="Arial" w:hAnsi="Arial"/>
                <w:sz w:val="18"/>
                <w:szCs w:val="18"/>
                <w:color w:val="auto"/>
              </w:rPr>
              <w:t>Adjustments for noncontrolling interest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(7,911)</w:t>
            </w:r>
          </w:p>
        </w:tc>
        <w:tc>
          <w:tcPr>
            <w:tcW w:w="12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(11,069)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(33,213)</w:t>
            </w:r>
          </w:p>
        </w:tc>
      </w:tr>
      <w:tr>
        <w:trPr>
          <w:trHeight w:val="229"/>
        </w:trPr>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 rata adjustments from joint ventures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w:t>
            </w:r>
          </w:p>
        </w:tc>
      </w:tr>
      <w:tr>
        <w:trPr>
          <w:trHeight w:val="210"/>
        </w:trPr>
        <w:tc>
          <w:tcPr>
            <w:tcW w:w="5400" w:type="dxa"/>
            <w:vAlign w:val="bottom"/>
            <w:gridSpan w:val="3"/>
          </w:tcPr>
          <w:p>
            <w:pPr>
              <w:ind w:left="180"/>
              <w:spacing w:after="0"/>
              <w:rPr>
                <w:sz w:val="20"/>
                <w:szCs w:val="20"/>
                <w:color w:val="auto"/>
              </w:rPr>
            </w:pPr>
            <w:r>
              <w:rPr>
                <w:rFonts w:ascii="Arial" w:cs="Arial" w:eastAsia="Arial" w:hAnsi="Arial"/>
                <w:sz w:val="18"/>
                <w:szCs w:val="18"/>
                <w:b w:val="1"/>
                <w:bCs w:val="1"/>
                <w:color w:val="auto"/>
              </w:rPr>
              <w:t>FFO available to common shareholders and unit holders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(34,421)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(236,577)</w:t>
            </w:r>
          </w:p>
        </w:tc>
        <w:tc>
          <w:tcPr>
            <w:tcW w:w="10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360"/>
              <w:spacing w:after="0"/>
              <w:rPr>
                <w:sz w:val="20"/>
                <w:szCs w:val="20"/>
                <w:color w:val="auto"/>
              </w:rPr>
            </w:pPr>
            <w:r>
              <w:rPr>
                <w:rFonts w:ascii="Arial" w:cs="Arial" w:eastAsia="Arial" w:hAnsi="Arial"/>
                <w:sz w:val="18"/>
                <w:szCs w:val="18"/>
                <w:color w:val="auto"/>
              </w:rPr>
              <w:t>Right-of-use asset amortization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149</w:t>
            </w:r>
          </w:p>
        </w:tc>
      </w:tr>
      <w:tr>
        <w:trPr>
          <w:trHeight w:val="216"/>
        </w:trPr>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4,474</w:t>
            </w:r>
          </w:p>
        </w:tc>
      </w:tr>
      <w:tr>
        <w:trPr>
          <w:trHeight w:val="216"/>
        </w:trPr>
        <w:tc>
          <w:tcPr>
            <w:tcW w:w="5400" w:type="dxa"/>
            <w:vAlign w:val="bottom"/>
            <w:gridSpan w:val="3"/>
          </w:tcPr>
          <w:p>
            <w:pPr>
              <w:ind w:left="360"/>
              <w:spacing w:after="0"/>
              <w:rPr>
                <w:sz w:val="20"/>
                <w:szCs w:val="20"/>
                <w:color w:val="auto"/>
              </w:rPr>
            </w:pPr>
            <w:r>
              <w:rPr>
                <w:rFonts w:ascii="Arial" w:cs="Arial" w:eastAsia="Arial" w:hAnsi="Arial"/>
                <w:sz w:val="18"/>
                <w:szCs w:val="18"/>
                <w:color w:val="auto"/>
              </w:rPr>
              <w:t>Pension settlement charge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1,379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1,740</w:t>
            </w:r>
          </w:p>
        </w:tc>
      </w:tr>
      <w:tr>
        <w:trPr>
          <w:trHeight w:val="216"/>
        </w:trPr>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Credit loss on held-to-maturity securities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32,784</w:t>
            </w:r>
          </w:p>
        </w:tc>
      </w:tr>
      <w:tr>
        <w:trPr>
          <w:trHeight w:val="216"/>
        </w:trPr>
        <w:tc>
          <w:tcPr>
            <w:tcW w:w="5400" w:type="dxa"/>
            <w:vAlign w:val="bottom"/>
            <w:gridSpan w:val="3"/>
          </w:tcPr>
          <w:p>
            <w:pPr>
              <w:ind w:left="360"/>
              <w:spacing w:after="0"/>
              <w:rPr>
                <w:sz w:val="20"/>
                <w:szCs w:val="20"/>
                <w:color w:val="auto"/>
              </w:rPr>
            </w:pPr>
            <w:r>
              <w:rPr>
                <w:rFonts w:ascii="Arial" w:cs="Arial" w:eastAsia="Arial" w:hAnsi="Arial"/>
                <w:sz w:val="18"/>
                <w:szCs w:val="18"/>
                <w:color w:val="auto"/>
              </w:rPr>
              <w:t>(Gain) loss on other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(1,161)</w:t>
            </w:r>
          </w:p>
        </w:tc>
      </w:tr>
      <w:tr>
        <w:trPr>
          <w:trHeight w:val="216"/>
        </w:trPr>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Write-off of deferred financing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281</w:t>
            </w:r>
          </w:p>
        </w:tc>
      </w:tr>
      <w:tr>
        <w:trPr>
          <w:trHeight w:val="216"/>
        </w:trPr>
        <w:tc>
          <w:tcPr>
            <w:tcW w:w="5400" w:type="dxa"/>
            <w:vAlign w:val="bottom"/>
            <w:gridSpan w:val="3"/>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8,790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7,948</w:t>
            </w:r>
          </w:p>
        </w:tc>
      </w:tr>
      <w:tr>
        <w:trPr>
          <w:trHeight w:val="216"/>
        </w:trPr>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Amortization of debt premiums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5400" w:type="dxa"/>
            <w:vAlign w:val="bottom"/>
            <w:gridSpan w:val="3"/>
          </w:tcPr>
          <w:p>
            <w:pPr>
              <w:ind w:left="36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2,949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Adjustments for noncontrolling interest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16"/>
        </w:trPr>
        <w:tc>
          <w:tcPr>
            <w:tcW w:w="5400" w:type="dxa"/>
            <w:vAlign w:val="bottom"/>
            <w:gridSpan w:val="3"/>
          </w:tcPr>
          <w:p>
            <w:pPr>
              <w:ind w:left="360"/>
              <w:spacing w:after="0"/>
              <w:rPr>
                <w:sz w:val="20"/>
                <w:szCs w:val="20"/>
                <w:color w:val="auto"/>
              </w:rPr>
            </w:pPr>
            <w:r>
              <w:rPr>
                <w:rFonts w:ascii="Arial" w:cs="Arial" w:eastAsia="Arial" w:hAnsi="Arial"/>
                <w:sz w:val="18"/>
                <w:szCs w:val="18"/>
                <w:color w:val="auto"/>
              </w:rPr>
              <w:t>Transaction costs of acquisitions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15,437</w:t>
            </w:r>
          </w:p>
        </w:tc>
      </w:tr>
      <w:tr>
        <w:trPr>
          <w:trHeight w:val="230"/>
        </w:trPr>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tax (benefit) expense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26,526</w:t>
            </w:r>
          </w:p>
        </w:tc>
      </w:tr>
      <w:tr>
        <w:trPr>
          <w:trHeight w:val="263"/>
        </w:trPr>
        <w:tc>
          <w:tcPr>
            <w:tcW w:w="540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b w:val="1"/>
                <w:bCs w:val="1"/>
                <w:color w:val="auto"/>
                <w:w w:val="92"/>
              </w:rPr>
              <w:t>Adjusted FFO available to common shareholders and unit holders</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52,069</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(31,042</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52,030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(149,598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400" w:type="dxa"/>
            <w:vAlign w:val="bottom"/>
            <w:gridSpan w:val="3"/>
            <w:shd w:val="clear" w:color="auto" w:fill="CCEEFF"/>
          </w:tcPr>
          <w:p>
            <w:pPr>
              <w:ind w:left="360"/>
              <w:spacing w:after="0" w:line="190" w:lineRule="exact"/>
              <w:rPr>
                <w:sz w:val="20"/>
                <w:szCs w:val="20"/>
                <w:color w:val="auto"/>
              </w:rPr>
            </w:pPr>
            <w:r>
              <w:rPr>
                <w:rFonts w:ascii="Arial" w:cs="Arial" w:eastAsia="Arial" w:hAnsi="Arial"/>
                <w:sz w:val="18"/>
                <w:szCs w:val="18"/>
                <w:color w:val="auto"/>
              </w:rPr>
              <w:t>Capital expenditures (1)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(7,817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(597</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(38,451</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(17,341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78"/>
        </w:trPr>
        <w:tc>
          <w:tcPr>
            <w:tcW w:w="5400" w:type="dxa"/>
            <w:vAlign w:val="bottom"/>
            <w:gridSpan w:val="3"/>
          </w:tcPr>
          <w:p>
            <w:pPr>
              <w:ind w:left="180"/>
              <w:spacing w:after="0" w:line="177" w:lineRule="exact"/>
              <w:rPr>
                <w:sz w:val="20"/>
                <w:szCs w:val="20"/>
                <w:color w:val="auto"/>
              </w:rPr>
            </w:pPr>
            <w:r>
              <w:rPr>
                <w:rFonts w:ascii="Arial" w:cs="Arial" w:eastAsia="Arial" w:hAnsi="Arial"/>
                <w:sz w:val="18"/>
                <w:szCs w:val="18"/>
                <w:b w:val="1"/>
                <w:bCs w:val="1"/>
                <w:color w:val="auto"/>
                <w:w w:val="92"/>
              </w:rPr>
              <w:t>Adjusted FFO available to common shareholders and unit 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(ex. maintenance capex)</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44,252</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(31,639)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13,579</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(166,939)</w:t>
            </w: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 net loss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16"/>
        </w:trPr>
        <w:tc>
          <w:tcPr>
            <w:tcW w:w="5400" w:type="dxa"/>
            <w:vAlign w:val="bottom"/>
            <w:gridSpan w:val="3"/>
          </w:tcPr>
          <w:p>
            <w:pPr>
              <w:ind w:left="180"/>
              <w:spacing w:after="0"/>
              <w:rPr>
                <w:sz w:val="20"/>
                <w:szCs w:val="20"/>
                <w:color w:val="auto"/>
              </w:rPr>
            </w:pPr>
            <w:r>
              <w:rPr>
                <w:rFonts w:ascii="Arial" w:cs="Arial" w:eastAsia="Arial" w:hAnsi="Arial"/>
                <w:sz w:val="18"/>
                <w:szCs w:val="18"/>
                <w:color w:val="auto"/>
              </w:rPr>
              <w:t>Diluted net loss per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(0.11)</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(1.45)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(3.21)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(7.59)</w:t>
            </w:r>
          </w:p>
        </w:tc>
      </w:tr>
      <w:tr>
        <w:trPr>
          <w:trHeight w:val="216"/>
        </w:trPr>
        <w:tc>
          <w:tcPr>
            <w:tcW w:w="9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40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8"/>
              </w:rPr>
              <w:t>FFO available to common shareholders and unit holders per basic</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18"/>
                <w:szCs w:val="18"/>
                <w:color w:val="auto"/>
              </w:rPr>
              <w:t>share/unit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0.91</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(0.62)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0.56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(4.29)</w:t>
            </w:r>
          </w:p>
        </w:tc>
      </w:tr>
      <w:tr>
        <w:trPr>
          <w:trHeight w:val="202"/>
        </w:trPr>
        <w:tc>
          <w:tcPr>
            <w:tcW w:w="540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Adjusted FFO available to common shareholders and unit holders per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share/unit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0.94</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0.94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9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40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FFO available to common shareholders and unit holders per diluted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share/unit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0.91</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0.56</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02"/>
        </w:trPr>
        <w:tc>
          <w:tcPr>
            <w:tcW w:w="540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3"/>
              </w:rPr>
              <w:t>Adjusted FFO available to common shareholders and unit holders per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18"/>
                <w:szCs w:val="18"/>
                <w:color w:val="auto"/>
              </w:rPr>
              <w:t>diluted share/unit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0.94</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(0.56)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0.94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9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400" w:type="dxa"/>
            <w:vAlign w:val="bottom"/>
            <w:gridSpan w:val="3"/>
          </w:tcPr>
          <w:p>
            <w:pPr>
              <w:spacing w:after="0" w:line="176" w:lineRule="exact"/>
              <w:rPr>
                <w:sz w:val="20"/>
                <w:szCs w:val="20"/>
                <w:color w:val="auto"/>
              </w:rPr>
            </w:pPr>
            <w:r>
              <w:rPr>
                <w:rFonts w:ascii="Arial" w:cs="Arial" w:eastAsia="Arial" w:hAnsi="Arial"/>
                <w:sz w:val="18"/>
                <w:szCs w:val="18"/>
                <w:color w:val="auto"/>
              </w:rPr>
              <w:t>Weighted average common shares and OP units for the period: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960" w:type="dxa"/>
            <w:vAlign w:val="bottom"/>
            <w:tcBorders>
              <w:top w:val="single" w:sz="8" w:color="auto"/>
            </w:tcBorders>
          </w:tcPr>
          <w:p>
            <w:pPr>
              <w:spacing w:after="0" w:line="20" w:lineRule="exact"/>
              <w:rPr>
                <w:sz w:val="1"/>
                <w:szCs w:val="1"/>
                <w:color w:val="auto"/>
              </w:rPr>
            </w:pPr>
          </w:p>
        </w:tc>
        <w:tc>
          <w:tcPr>
            <w:tcW w:w="356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55,467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55,416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55,454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55,108</w:t>
            </w:r>
          </w:p>
        </w:tc>
      </w:tr>
      <w:tr>
        <w:trPr>
          <w:trHeight w:val="230"/>
        </w:trPr>
        <w:tc>
          <w:tcPr>
            <w:tcW w:w="5400" w:type="dxa"/>
            <w:vAlign w:val="bottom"/>
            <w:gridSpan w:val="3"/>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55,467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55,416</w:t>
            </w:r>
          </w:p>
        </w:tc>
        <w:tc>
          <w:tcPr>
            <w:tcW w:w="12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55,454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55,108</w:t>
            </w:r>
          </w:p>
        </w:tc>
      </w:tr>
    </w:tbl>
    <w:p>
      <w:pPr>
        <w:spacing w:after="0" w:line="214" w:lineRule="exact"/>
        <w:rPr>
          <w:sz w:val="20"/>
          <w:szCs w:val="20"/>
          <w:color w:val="auto"/>
        </w:rPr>
      </w:pPr>
    </w:p>
    <w:p>
      <w:pPr>
        <w:ind w:right="180" w:firstLine="8"/>
        <w:spacing w:after="0" w:line="311"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FF&amp;E reserve contribution for managed properties and maintenance capital expenditures for non-managed properties. Note that beginning in March 2020, as a result of the COVID-19 pandemic, contributions to the FF&amp;E reserve for managed properties have been temporarily suspended, although we have made voluntary contributions to fund various maintenance capital expenditures, including the rooms renovation at Gaylord National.</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HOSPITALITY SEGMENT ADJUSTED EBITDA</w:t>
      </w:r>
      <w:r>
        <w:rPr>
          <w:rFonts w:ascii="Arial" w:cs="Arial" w:eastAsia="Arial" w:hAnsi="Arial"/>
          <w:sz w:val="18"/>
          <w:szCs w:val="18"/>
          <w:b w:val="1"/>
          <w:bCs w:val="1"/>
          <w:i w:val="1"/>
          <w:iCs w:val="1"/>
          <w:color w:val="auto"/>
        </w:rPr>
        <w:t>re</w:t>
      </w:r>
      <w:r>
        <w:rPr>
          <w:rFonts w:ascii="Arial" w:cs="Arial" w:eastAsia="Arial" w:hAnsi="Arial"/>
          <w:sz w:val="18"/>
          <w:szCs w:val="18"/>
          <w:b w:val="1"/>
          <w:bCs w:val="1"/>
          <w:color w:val="auto"/>
        </w:rPr>
        <w:t xml:space="preserve"> RECONCILIATIONS AND OPERATING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rPr>
              <w:t>Three Months Ended Dec. 31,</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rPr>
              <w:t>Twelve Months Ended Dec.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9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Margin</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Margin</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Margin</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Margin</w:t>
            </w:r>
          </w:p>
        </w:tc>
        <w:tc>
          <w:tcPr>
            <w:tcW w:w="120" w:type="dxa"/>
            <w:vAlign w:val="bottom"/>
            <w:tcBorders>
              <w:bottom w:val="single" w:sz="8" w:color="CCEEFF"/>
            </w:tcBorders>
          </w:tcPr>
          <w:p>
            <w:pPr>
              <w:spacing w:after="0"/>
              <w:rPr>
                <w:sz w:val="13"/>
                <w:szCs w:val="13"/>
                <w:color w:val="auto"/>
              </w:rPr>
            </w:pPr>
          </w:p>
        </w:tc>
      </w:tr>
      <w:tr>
        <w:trPr>
          <w:trHeight w:val="128"/>
        </w:trPr>
        <w:tc>
          <w:tcPr>
            <w:tcW w:w="3280" w:type="dxa"/>
            <w:vAlign w:val="bottom"/>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Hospitality segment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2"/>
        </w:trPr>
        <w:tc>
          <w:tcPr>
            <w:tcW w:w="122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Revenue</w:t>
            </w:r>
          </w:p>
        </w:tc>
        <w:tc>
          <w:tcPr>
            <w:tcW w:w="20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CCEEFF"/>
            </w:tcBorders>
            <w:gridSpan w:val="2"/>
          </w:tcPr>
          <w:p>
            <w:pPr>
              <w:jc w:val="right"/>
              <w:ind w:right="168"/>
              <w:spacing w:after="0" w:line="142" w:lineRule="exact"/>
              <w:rPr>
                <w:sz w:val="20"/>
                <w:szCs w:val="20"/>
                <w:color w:val="auto"/>
              </w:rPr>
            </w:pPr>
            <w:r>
              <w:rPr>
                <w:rFonts w:ascii="Arial" w:cs="Arial" w:eastAsia="Arial" w:hAnsi="Arial"/>
                <w:sz w:val="14"/>
                <w:szCs w:val="14"/>
                <w:color w:val="auto"/>
              </w:rPr>
              <w:t>323,240</w:t>
            </w: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CCEEFF"/>
            </w:tcBorders>
            <w:gridSpan w:val="2"/>
          </w:tcPr>
          <w:p>
            <w:pPr>
              <w:jc w:val="right"/>
              <w:ind w:right="240"/>
              <w:spacing w:after="0" w:line="142" w:lineRule="exact"/>
              <w:rPr>
                <w:sz w:val="20"/>
                <w:szCs w:val="20"/>
                <w:color w:val="auto"/>
              </w:rPr>
            </w:pPr>
            <w:r>
              <w:rPr>
                <w:rFonts w:ascii="Arial" w:cs="Arial" w:eastAsia="Arial" w:hAnsi="Arial"/>
                <w:sz w:val="14"/>
                <w:szCs w:val="14"/>
                <w:color w:val="auto"/>
              </w:rPr>
              <w:t>112,091</w:t>
            </w:r>
          </w:p>
        </w:tc>
        <w:tc>
          <w:tcPr>
            <w:tcW w:w="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CCEEFF"/>
            </w:tcBorders>
            <w:gridSpan w:val="2"/>
          </w:tcPr>
          <w:p>
            <w:pPr>
              <w:jc w:val="right"/>
              <w:ind w:right="168"/>
              <w:spacing w:after="0" w:line="142" w:lineRule="exact"/>
              <w:rPr>
                <w:sz w:val="20"/>
                <w:szCs w:val="20"/>
                <w:color w:val="auto"/>
              </w:rPr>
            </w:pPr>
            <w:r>
              <w:rPr>
                <w:rFonts w:ascii="Arial" w:cs="Arial" w:eastAsia="Arial" w:hAnsi="Arial"/>
                <w:sz w:val="14"/>
                <w:szCs w:val="14"/>
                <w:color w:val="auto"/>
              </w:rPr>
              <w:t>786,583</w:t>
            </w:r>
          </w:p>
        </w:tc>
        <w:tc>
          <w:tcPr>
            <w:tcW w:w="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gridSpan w:val="2"/>
          </w:tcPr>
          <w:p>
            <w:pPr>
              <w:jc w:val="right"/>
              <w:ind w:right="179"/>
              <w:spacing w:after="0" w:line="142" w:lineRule="exact"/>
              <w:rPr>
                <w:sz w:val="20"/>
                <w:szCs w:val="20"/>
                <w:color w:val="auto"/>
              </w:rPr>
            </w:pPr>
            <w:r>
              <w:rPr>
                <w:rFonts w:ascii="Arial" w:cs="Arial" w:eastAsia="Arial" w:hAnsi="Arial"/>
                <w:sz w:val="14"/>
                <w:szCs w:val="14"/>
                <w:color w:val="auto"/>
              </w:rPr>
              <w:t>466,045</w:t>
            </w: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8"/>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Operating income (loss)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27,833</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(50,389)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-45.0%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(38,427)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(236,790)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r>
      <w:tr>
        <w:trPr>
          <w:trHeight w:val="148"/>
        </w:trPr>
        <w:tc>
          <w:tcPr>
            <w:tcW w:w="3280" w:type="dxa"/>
            <w:vAlign w:val="bottom"/>
            <w:gridSpan w:val="5"/>
          </w:tcPr>
          <w:p>
            <w:pPr>
              <w:ind w:left="340"/>
              <w:spacing w:after="0" w:line="149" w:lineRule="exact"/>
              <w:rPr>
                <w:sz w:val="20"/>
                <w:szCs w:val="20"/>
                <w:color w:val="auto"/>
              </w:rPr>
            </w:pPr>
            <w:r>
              <w:rPr>
                <w:rFonts w:ascii="Arial" w:cs="Arial" w:eastAsia="Arial" w:hAnsi="Arial"/>
                <w:sz w:val="14"/>
                <w:szCs w:val="14"/>
                <w:color w:val="auto"/>
              </w:rPr>
              <w:t>Depreciation &amp; amortization</w:t>
            </w:r>
          </w:p>
        </w:tc>
        <w:tc>
          <w:tcPr>
            <w:tcW w:w="20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52,020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49,406</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203,675</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198,073</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80" w:type="dxa"/>
            <w:vAlign w:val="bottom"/>
            <w:gridSpan w:val="5"/>
            <w:shd w:val="clear" w:color="auto" w:fill="CCEEFF"/>
          </w:tcPr>
          <w:p>
            <w:pPr>
              <w:ind w:left="340"/>
              <w:spacing w:after="0" w:line="149" w:lineRule="exact"/>
              <w:rPr>
                <w:sz w:val="20"/>
                <w:szCs w:val="20"/>
                <w:color w:val="auto"/>
              </w:rPr>
            </w:pPr>
            <w:r>
              <w:rPr>
                <w:rFonts w:ascii="Arial" w:cs="Arial" w:eastAsia="Arial" w:hAnsi="Arial"/>
                <w:sz w:val="14"/>
                <w:szCs w:val="14"/>
                <w:color w:val="auto"/>
              </w:rPr>
              <w:t>(Gain) loss on sale of assets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(317)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(1,176)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340"/>
              <w:spacing w:after="0" w:line="149" w:lineRule="exact"/>
              <w:rPr>
                <w:sz w:val="20"/>
                <w:szCs w:val="20"/>
                <w:color w:val="auto"/>
              </w:rPr>
            </w:pPr>
            <w:r>
              <w:rPr>
                <w:rFonts w:ascii="Arial" w:cs="Arial" w:eastAsia="Arial" w:hAnsi="Arial"/>
                <w:sz w:val="14"/>
                <w:szCs w:val="14"/>
                <w:color w:val="auto"/>
              </w:rPr>
              <w:t>Preopening costs</w:t>
            </w:r>
          </w:p>
        </w:tc>
        <w:tc>
          <w:tcPr>
            <w:tcW w:w="20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731</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314</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80" w:type="dxa"/>
            <w:vAlign w:val="bottom"/>
            <w:gridSpan w:val="5"/>
            <w:shd w:val="clear" w:color="auto" w:fill="CCEEFF"/>
          </w:tcPr>
          <w:p>
            <w:pPr>
              <w:ind w:left="340"/>
              <w:spacing w:after="0" w:line="149" w:lineRule="exact"/>
              <w:rPr>
                <w:sz w:val="20"/>
                <w:szCs w:val="20"/>
                <w:color w:val="auto"/>
              </w:rPr>
            </w:pPr>
            <w:r>
              <w:rPr>
                <w:rFonts w:ascii="Arial" w:cs="Arial" w:eastAsia="Arial" w:hAnsi="Arial"/>
                <w:sz w:val="14"/>
                <w:szCs w:val="14"/>
                <w:color w:val="auto"/>
              </w:rPr>
              <w:t>Non-cash lease expense</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1,132</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4,409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4,479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340"/>
              <w:spacing w:after="0" w:line="149" w:lineRule="exact"/>
              <w:rPr>
                <w:sz w:val="20"/>
                <w:szCs w:val="20"/>
                <w:color w:val="auto"/>
              </w:rPr>
            </w:pPr>
            <w:r>
              <w:rPr>
                <w:rFonts w:ascii="Arial" w:cs="Arial" w:eastAsia="Arial" w:hAnsi="Arial"/>
                <w:sz w:val="14"/>
                <w:szCs w:val="14"/>
                <w:color w:val="auto"/>
              </w:rPr>
              <w:t>Credit loss on held-to-maturity securities</w:t>
            </w:r>
          </w:p>
        </w:tc>
        <w:tc>
          <w:tcPr>
            <w:tcW w:w="20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32,784</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80" w:type="dxa"/>
            <w:vAlign w:val="bottom"/>
            <w:gridSpan w:val="5"/>
            <w:shd w:val="clear" w:color="auto" w:fill="CCEEFF"/>
          </w:tcPr>
          <w:p>
            <w:pPr>
              <w:ind w:left="340"/>
              <w:spacing w:after="0" w:line="149" w:lineRule="exact"/>
              <w:rPr>
                <w:sz w:val="20"/>
                <w:szCs w:val="20"/>
                <w:color w:val="auto"/>
              </w:rPr>
            </w:pPr>
            <w:r>
              <w:rPr>
                <w:rFonts w:ascii="Arial" w:cs="Arial" w:eastAsia="Arial" w:hAnsi="Arial"/>
                <w:sz w:val="14"/>
                <w:szCs w:val="14"/>
                <w:color w:val="auto"/>
              </w:rPr>
              <w:t>Interest income on Gaylord National bonds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1,388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1,488</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5,502</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6,171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340"/>
              <w:spacing w:after="0" w:line="149" w:lineRule="exact"/>
              <w:rPr>
                <w:sz w:val="20"/>
                <w:szCs w:val="20"/>
                <w:color w:val="auto"/>
              </w:rPr>
            </w:pPr>
            <w:r>
              <w:rPr>
                <w:rFonts w:ascii="Arial" w:cs="Arial" w:eastAsia="Arial" w:hAnsi="Arial"/>
                <w:sz w:val="14"/>
                <w:szCs w:val="14"/>
                <w:color w:val="auto"/>
              </w:rPr>
              <w:t>Transaction costs of acquisitions</w:t>
            </w:r>
          </w:p>
        </w:tc>
        <w:tc>
          <w:tcPr>
            <w:tcW w:w="20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80" w:type="dxa"/>
            <w:vAlign w:val="bottom"/>
            <w:gridSpan w:val="5"/>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gains and (losses), net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2,846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3280" w:type="dxa"/>
            <w:vAlign w:val="bottom"/>
            <w:gridSpan w:val="5"/>
          </w:tcPr>
          <w:p>
            <w:pPr>
              <w:ind w:left="340"/>
              <w:spacing w:after="0"/>
              <w:rPr>
                <w:sz w:val="20"/>
                <w:szCs w:val="20"/>
                <w:color w:val="auto"/>
              </w:rPr>
            </w:pPr>
            <w:r>
              <w:rPr>
                <w:rFonts w:ascii="Arial" w:cs="Arial" w:eastAsia="Arial" w:hAnsi="Arial"/>
                <w:sz w:val="14"/>
                <w:szCs w:val="14"/>
                <w:color w:val="auto"/>
              </w:rPr>
              <w:t>Pro rata adjusted EBITDA from joint ventures</w:t>
            </w:r>
          </w:p>
        </w:tc>
        <w:tc>
          <w:tcPr>
            <w:tcW w:w="200" w:type="dxa"/>
            <w:vAlign w:val="bottom"/>
          </w:tcPr>
          <w:p>
            <w:pPr>
              <w:spacing w:after="0"/>
              <w:rPr>
                <w:sz w:val="14"/>
                <w:szCs w:val="14"/>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280" w:type="dxa"/>
            <w:vAlign w:val="bottom"/>
            <w:tcBorders>
              <w:top w:val="single" w:sz="8" w:color="CCEEFF"/>
              <w:bottom w:val="single" w:sz="8" w:color="CCEEFF"/>
            </w:tcBorders>
            <w:gridSpan w:val="5"/>
            <w:shd w:val="clear" w:color="auto" w:fill="CCEEFF"/>
          </w:tcPr>
          <w:p>
            <w:pPr>
              <w:ind w:left="180"/>
              <w:spacing w:after="0" w:line="155"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4"/>
                <w:szCs w:val="14"/>
                <w:b w:val="1"/>
                <w:bCs w:val="1"/>
                <w:i w:val="1"/>
                <w:iCs w:val="1"/>
                <w:color w:val="auto"/>
              </w:rPr>
              <w:t>re</w:t>
            </w: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82,343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25.5</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1,791</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175,648</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6,701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Occupancy</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39.5%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Average daily rate (ADR)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246.96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209.81</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221.33</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200.02</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RevPAR</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131.00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41.18</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87.53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46.41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OtherPAR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206.44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79.33</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121.81</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79.54</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Total RevPAR</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337.44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120.51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209.34</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125.95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32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Gaylord Opryland</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22"/>
        </w:trPr>
        <w:tc>
          <w:tcPr>
            <w:tcW w:w="1160" w:type="dxa"/>
            <w:vAlign w:val="bottom"/>
            <w:tcBorders>
              <w:top w:val="single" w:sz="8" w:color="auto"/>
            </w:tcBorders>
            <w:gridSpan w:val="3"/>
          </w:tcPr>
          <w:p>
            <w:pPr>
              <w:ind w:left="180"/>
              <w:spacing w:after="0" w:line="122" w:lineRule="exact"/>
              <w:rPr>
                <w:sz w:val="20"/>
                <w:szCs w:val="20"/>
                <w:color w:val="auto"/>
              </w:rPr>
            </w:pPr>
            <w:r>
              <w:rPr>
                <w:rFonts w:ascii="Arial" w:cs="Arial" w:eastAsia="Arial" w:hAnsi="Arial"/>
                <w:sz w:val="14"/>
                <w:szCs w:val="14"/>
                <w:b w:val="1"/>
                <w:bCs w:val="1"/>
                <w:color w:val="auto"/>
              </w:rPr>
              <w:t>Revenue</w:t>
            </w:r>
          </w:p>
        </w:tc>
        <w:tc>
          <w:tcPr>
            <w:tcW w:w="2120" w:type="dxa"/>
            <w:vAlign w:val="bottom"/>
            <w:tcBorders>
              <w:top w:val="single" w:sz="8" w:color="CCEEFF"/>
            </w:tcBorders>
            <w:gridSpan w:val="2"/>
          </w:tcPr>
          <w:p>
            <w:pPr>
              <w:spacing w:after="0"/>
              <w:rPr>
                <w:sz w:val="10"/>
                <w:szCs w:val="10"/>
                <w:color w:val="auto"/>
              </w:rPr>
            </w:pPr>
          </w:p>
        </w:tc>
        <w:tc>
          <w:tcPr>
            <w:tcW w:w="200" w:type="dxa"/>
            <w:vAlign w:val="bottom"/>
            <w:tcBorders>
              <w:top w:val="single" w:sz="8" w:color="CCEEFF"/>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CCEEFF"/>
            </w:tcBorders>
            <w:gridSpan w:val="2"/>
          </w:tcPr>
          <w:p>
            <w:pPr>
              <w:jc w:val="right"/>
              <w:ind w:right="168"/>
              <w:spacing w:after="0" w:line="122" w:lineRule="exact"/>
              <w:rPr>
                <w:sz w:val="20"/>
                <w:szCs w:val="20"/>
                <w:color w:val="auto"/>
              </w:rPr>
            </w:pPr>
            <w:r>
              <w:rPr>
                <w:rFonts w:ascii="Arial" w:cs="Arial" w:eastAsia="Arial" w:hAnsi="Arial"/>
                <w:sz w:val="14"/>
                <w:szCs w:val="14"/>
                <w:color w:val="auto"/>
              </w:rPr>
              <w:t>96,323</w:t>
            </w:r>
          </w:p>
        </w:tc>
        <w:tc>
          <w:tcPr>
            <w:tcW w:w="10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CCEEFF"/>
            </w:tcBorders>
            <w:gridSpan w:val="2"/>
          </w:tcPr>
          <w:p>
            <w:pPr>
              <w:jc w:val="right"/>
              <w:ind w:right="240"/>
              <w:spacing w:after="0" w:line="122" w:lineRule="exact"/>
              <w:rPr>
                <w:sz w:val="20"/>
                <w:szCs w:val="20"/>
                <w:color w:val="auto"/>
              </w:rPr>
            </w:pPr>
            <w:r>
              <w:rPr>
                <w:rFonts w:ascii="Arial" w:cs="Arial" w:eastAsia="Arial" w:hAnsi="Arial"/>
                <w:sz w:val="14"/>
                <w:szCs w:val="14"/>
                <w:color w:val="auto"/>
              </w:rPr>
              <w:t>38,372</w:t>
            </w:r>
          </w:p>
        </w:tc>
        <w:tc>
          <w:tcPr>
            <w:tcW w:w="8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CCEEFF"/>
            </w:tcBorders>
            <w:gridSpan w:val="2"/>
          </w:tcPr>
          <w:p>
            <w:pPr>
              <w:jc w:val="right"/>
              <w:ind w:right="168"/>
              <w:spacing w:after="0" w:line="122" w:lineRule="exact"/>
              <w:rPr>
                <w:sz w:val="20"/>
                <w:szCs w:val="20"/>
                <w:color w:val="auto"/>
              </w:rPr>
            </w:pPr>
            <w:r>
              <w:rPr>
                <w:rFonts w:ascii="Arial" w:cs="Arial" w:eastAsia="Arial" w:hAnsi="Arial"/>
                <w:sz w:val="14"/>
                <w:szCs w:val="14"/>
                <w:color w:val="auto"/>
              </w:rPr>
              <w:t>238,567</w:t>
            </w:r>
          </w:p>
        </w:tc>
        <w:tc>
          <w:tcPr>
            <w:tcW w:w="8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jc w:val="right"/>
              <w:ind w:right="28"/>
              <w:spacing w:after="0" w:line="12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gridSpan w:val="2"/>
          </w:tcPr>
          <w:p>
            <w:pPr>
              <w:jc w:val="right"/>
              <w:ind w:right="179"/>
              <w:spacing w:after="0" w:line="122" w:lineRule="exact"/>
              <w:rPr>
                <w:sz w:val="20"/>
                <w:szCs w:val="20"/>
                <w:color w:val="auto"/>
              </w:rPr>
            </w:pPr>
            <w:r>
              <w:rPr>
                <w:rFonts w:ascii="Arial" w:cs="Arial" w:eastAsia="Arial" w:hAnsi="Arial"/>
                <w:sz w:val="14"/>
                <w:szCs w:val="14"/>
                <w:color w:val="auto"/>
              </w:rPr>
              <w:t>133,333</w:t>
            </w:r>
          </w:p>
        </w:tc>
        <w:tc>
          <w:tcPr>
            <w:tcW w:w="10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8"/>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Operating income (loss)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23,764</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24.7%</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(3,899)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34,729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(28,301)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r>
      <w:tr>
        <w:trPr>
          <w:trHeight w:val="149"/>
        </w:trPr>
        <w:tc>
          <w:tcPr>
            <w:tcW w:w="3280" w:type="dxa"/>
            <w:vAlign w:val="bottom"/>
            <w:gridSpan w:val="5"/>
          </w:tcPr>
          <w:p>
            <w:pPr>
              <w:ind w:left="340"/>
              <w:spacing w:after="0" w:line="149" w:lineRule="exact"/>
              <w:rPr>
                <w:sz w:val="20"/>
                <w:szCs w:val="20"/>
                <w:color w:val="auto"/>
              </w:rPr>
            </w:pPr>
            <w:r>
              <w:rPr>
                <w:rFonts w:ascii="Arial" w:cs="Arial" w:eastAsia="Arial" w:hAnsi="Arial"/>
                <w:sz w:val="14"/>
                <w:szCs w:val="14"/>
                <w:color w:val="auto"/>
              </w:rPr>
              <w:t>Depreciation &amp; amortization</w:t>
            </w:r>
          </w:p>
        </w:tc>
        <w:tc>
          <w:tcPr>
            <w:tcW w:w="20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8,473</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8,720</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34,117</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35,126</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80" w:type="dxa"/>
            <w:vAlign w:val="bottom"/>
            <w:gridSpan w:val="5"/>
            <w:shd w:val="clear" w:color="auto" w:fill="CCEEFF"/>
          </w:tcPr>
          <w:p>
            <w:pPr>
              <w:ind w:left="340"/>
              <w:spacing w:after="0" w:line="149" w:lineRule="exact"/>
              <w:rPr>
                <w:sz w:val="20"/>
                <w:szCs w:val="20"/>
                <w:color w:val="auto"/>
              </w:rPr>
            </w:pPr>
            <w:r>
              <w:rPr>
                <w:rFonts w:ascii="Arial" w:cs="Arial" w:eastAsia="Arial" w:hAnsi="Arial"/>
                <w:sz w:val="14"/>
                <w:szCs w:val="14"/>
                <w:color w:val="auto"/>
              </w:rPr>
              <w:t>(Gain) loss on sale of assets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(317)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340"/>
              <w:spacing w:after="0" w:line="149" w:lineRule="exact"/>
              <w:rPr>
                <w:sz w:val="20"/>
                <w:szCs w:val="20"/>
                <w:color w:val="auto"/>
              </w:rPr>
            </w:pPr>
            <w:r>
              <w:rPr>
                <w:rFonts w:ascii="Arial" w:cs="Arial" w:eastAsia="Arial" w:hAnsi="Arial"/>
                <w:sz w:val="14"/>
                <w:szCs w:val="14"/>
                <w:color w:val="auto"/>
              </w:rPr>
              <w:t>Preopening costs</w:t>
            </w:r>
          </w:p>
        </w:tc>
        <w:tc>
          <w:tcPr>
            <w:tcW w:w="20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328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rPr>
              <w:t>Non-cash lease (revenue) expense</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5"/>
        </w:trPr>
        <w:tc>
          <w:tcPr>
            <w:tcW w:w="3280" w:type="dxa"/>
            <w:vAlign w:val="bottom"/>
            <w:tcBorders>
              <w:bottom w:val="single" w:sz="8" w:color="CCEEFF"/>
            </w:tcBorders>
            <w:gridSpan w:val="5"/>
          </w:tcPr>
          <w:p>
            <w:pPr>
              <w:ind w:left="180"/>
              <w:spacing w:after="0" w:line="155"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4"/>
                <w:szCs w:val="14"/>
                <w:b w:val="1"/>
                <w:bCs w:val="1"/>
                <w:i w:val="1"/>
                <w:iCs w:val="1"/>
                <w:color w:val="auto"/>
              </w:rPr>
              <w:t>re</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32,237</w:t>
            </w: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33.5</w:t>
            </w:r>
          </w:p>
        </w:tc>
        <w:tc>
          <w:tcPr>
            <w:tcW w:w="240" w:type="dxa"/>
            <w:vAlign w:val="bottom"/>
            <w:tcBorders>
              <w:bottom w:val="single" w:sz="8" w:color="CCEEFF"/>
            </w:tcBorders>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4,876</w:t>
            </w: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w:t>
            </w:r>
          </w:p>
        </w:tc>
        <w:tc>
          <w:tcPr>
            <w:tcW w:w="240" w:type="dxa"/>
            <w:vAlign w:val="bottom"/>
            <w:tcBorders>
              <w:bottom w:val="single" w:sz="8" w:color="CCEEFF"/>
            </w:tcBorders>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68,531</w:t>
            </w: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28.7</w:t>
            </w:r>
          </w:p>
        </w:tc>
        <w:tc>
          <w:tcPr>
            <w:tcW w:w="220" w:type="dxa"/>
            <w:vAlign w:val="bottom"/>
            <w:tcBorders>
              <w:bottom w:val="single" w:sz="8" w:color="CCEEFF"/>
            </w:tcBorders>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5,560</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129"/>
        </w:trPr>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Occupancy</w:t>
            </w:r>
          </w:p>
        </w:tc>
        <w:tc>
          <w:tcPr>
            <w:tcW w:w="200" w:type="dxa"/>
            <w:vAlign w:val="bottom"/>
          </w:tcPr>
          <w:p>
            <w:pPr>
              <w:spacing w:after="0"/>
              <w:rPr>
                <w:sz w:val="12"/>
                <w:szCs w:val="12"/>
                <w:color w:val="auto"/>
              </w:rPr>
            </w:pPr>
          </w:p>
        </w:tc>
        <w:tc>
          <w:tcPr>
            <w:tcW w:w="8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61.4%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44.2%</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Average daily rate (ADR)</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254.37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224.87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234.15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201.82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RevPAR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156.17</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56.02</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103.47</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50.40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OtherPAR</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206.36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88.40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122.85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75.74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Total RevPAR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362.53</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144.42</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226.32</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126.14</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5"/>
        </w:trPr>
        <w:tc>
          <w:tcPr>
            <w:tcW w:w="94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93"/>
              </w:rPr>
              <w:t>Gaylord Palms</w:t>
            </w:r>
          </w:p>
        </w:tc>
        <w:tc>
          <w:tcPr>
            <w:tcW w:w="234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3280" w:type="dxa"/>
            <w:vAlign w:val="bottom"/>
            <w:gridSpan w:val="5"/>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56,835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23,971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139,130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line="142" w:lineRule="exact"/>
              <w:rPr>
                <w:sz w:val="20"/>
                <w:szCs w:val="20"/>
                <w:color w:val="auto"/>
              </w:rPr>
            </w:pPr>
            <w:r>
              <w:rPr>
                <w:rFonts w:ascii="Arial" w:cs="Arial" w:eastAsia="Arial" w:hAnsi="Arial"/>
                <w:sz w:val="14"/>
                <w:szCs w:val="14"/>
                <w:color w:val="auto"/>
              </w:rPr>
              <w:t>77,819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Operating income (loss)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8,053</w:t>
            </w:r>
          </w:p>
        </w:tc>
        <w:tc>
          <w:tcPr>
            <w:tcW w:w="100" w:type="dxa"/>
            <w:vAlign w:val="bottom"/>
          </w:tcPr>
          <w:p>
            <w:pPr>
              <w:spacing w:after="0"/>
              <w:rPr>
                <w:sz w:val="12"/>
                <w:szCs w:val="12"/>
                <w:color w:val="auto"/>
              </w:rPr>
            </w:pP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14.2%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(3,123)</w:t>
            </w:r>
          </w:p>
        </w:tc>
        <w:tc>
          <w:tcPr>
            <w:tcW w:w="8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3,539</w:t>
            </w:r>
          </w:p>
        </w:tc>
        <w:tc>
          <w:tcPr>
            <w:tcW w:w="80" w:type="dxa"/>
            <w:vAlign w:val="bottom"/>
          </w:tcPr>
          <w:p>
            <w:pPr>
              <w:spacing w:after="0"/>
              <w:rPr>
                <w:sz w:val="12"/>
                <w:szCs w:val="12"/>
                <w:color w:val="auto"/>
              </w:rPr>
            </w:pPr>
          </w:p>
        </w:tc>
        <w:tc>
          <w:tcPr>
            <w:tcW w:w="9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2.5%</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(22,245)</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w:t>
            </w:r>
          </w:p>
        </w:tc>
      </w:tr>
      <w:tr>
        <w:trPr>
          <w:trHeight w:val="149"/>
        </w:trPr>
        <w:tc>
          <w:tcPr>
            <w:tcW w:w="3280" w:type="dxa"/>
            <w:vAlign w:val="bottom"/>
            <w:gridSpan w:val="5"/>
            <w:shd w:val="clear" w:color="auto" w:fill="CCEEFF"/>
          </w:tcPr>
          <w:p>
            <w:pPr>
              <w:ind w:left="340"/>
              <w:spacing w:after="0" w:line="149" w:lineRule="exact"/>
              <w:rPr>
                <w:sz w:val="20"/>
                <w:szCs w:val="20"/>
                <w:color w:val="auto"/>
              </w:rPr>
            </w:pPr>
            <w:r>
              <w:rPr>
                <w:rFonts w:ascii="Arial" w:cs="Arial" w:eastAsia="Arial" w:hAnsi="Arial"/>
                <w:sz w:val="14"/>
                <w:szCs w:val="14"/>
                <w:color w:val="auto"/>
              </w:rPr>
              <w:t>Depreciation &amp; amortization</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5,834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4,134</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21,112</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16,586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340"/>
              <w:spacing w:after="0" w:line="149" w:lineRule="exact"/>
              <w:rPr>
                <w:sz w:val="20"/>
                <w:szCs w:val="20"/>
                <w:color w:val="auto"/>
              </w:rPr>
            </w:pPr>
            <w:r>
              <w:rPr>
                <w:rFonts w:ascii="Arial" w:cs="Arial" w:eastAsia="Arial" w:hAnsi="Arial"/>
                <w:sz w:val="14"/>
                <w:szCs w:val="14"/>
                <w:color w:val="auto"/>
              </w:rPr>
              <w:t>Loss on disposal of assets</w:t>
            </w:r>
          </w:p>
        </w:tc>
        <w:tc>
          <w:tcPr>
            <w:tcW w:w="20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80" w:type="dxa"/>
            <w:vAlign w:val="bottom"/>
            <w:gridSpan w:val="5"/>
            <w:shd w:val="clear" w:color="auto" w:fill="CCEEFF"/>
          </w:tcPr>
          <w:p>
            <w:pPr>
              <w:ind w:left="340"/>
              <w:spacing w:after="0" w:line="149" w:lineRule="exact"/>
              <w:rPr>
                <w:sz w:val="20"/>
                <w:szCs w:val="20"/>
                <w:color w:val="auto"/>
              </w:rPr>
            </w:pPr>
            <w:r>
              <w:rPr>
                <w:rFonts w:ascii="Arial" w:cs="Arial" w:eastAsia="Arial" w:hAnsi="Arial"/>
                <w:sz w:val="14"/>
                <w:szCs w:val="14"/>
                <w:color w:val="auto"/>
              </w:rPr>
              <w:t>Preopening costs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731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280" w:type="dxa"/>
            <w:vAlign w:val="bottom"/>
            <w:gridSpan w:val="5"/>
          </w:tcPr>
          <w:p>
            <w:pPr>
              <w:ind w:left="340"/>
              <w:spacing w:after="0" w:line="149" w:lineRule="exact"/>
              <w:rPr>
                <w:sz w:val="20"/>
                <w:szCs w:val="20"/>
                <w:color w:val="auto"/>
              </w:rPr>
            </w:pPr>
            <w:r>
              <w:rPr>
                <w:rFonts w:ascii="Arial" w:cs="Arial" w:eastAsia="Arial" w:hAnsi="Arial"/>
                <w:sz w:val="14"/>
                <w:szCs w:val="14"/>
                <w:color w:val="auto"/>
              </w:rPr>
              <w:t>Non-cash lease expense</w:t>
            </w:r>
          </w:p>
        </w:tc>
        <w:tc>
          <w:tcPr>
            <w:tcW w:w="20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1,102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1,136</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4,407</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4,542</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328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rPr>
              <w:t>Impairment charges</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6"/>
        </w:trPr>
        <w:tc>
          <w:tcPr>
            <w:tcW w:w="3280" w:type="dxa"/>
            <w:vAlign w:val="bottom"/>
            <w:tcBorders>
              <w:bottom w:val="single" w:sz="8" w:color="CCEEFF"/>
            </w:tcBorders>
            <w:gridSpan w:val="5"/>
          </w:tcPr>
          <w:p>
            <w:pPr>
              <w:ind w:left="180"/>
              <w:spacing w:after="0" w:line="155"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4"/>
                <w:szCs w:val="14"/>
                <w:b w:val="1"/>
                <w:bCs w:val="1"/>
                <w:i w:val="1"/>
                <w:iCs w:val="1"/>
                <w:color w:val="auto"/>
              </w:rPr>
              <w:t>re</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14,989</w:t>
            </w: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w:t>
            </w:r>
          </w:p>
        </w:tc>
        <w:tc>
          <w:tcPr>
            <w:tcW w:w="240" w:type="dxa"/>
            <w:vAlign w:val="bottom"/>
            <w:tcBorders>
              <w:bottom w:val="single" w:sz="8" w:color="CCEEFF"/>
            </w:tcBorders>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2,218</w:t>
            </w: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w:t>
            </w:r>
          </w:p>
        </w:tc>
        <w:tc>
          <w:tcPr>
            <w:tcW w:w="240" w:type="dxa"/>
            <w:vAlign w:val="bottom"/>
            <w:tcBorders>
              <w:bottom w:val="single" w:sz="8" w:color="CCEEFF"/>
            </w:tcBorders>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29,789</w:t>
            </w: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w:t>
            </w:r>
          </w:p>
        </w:tc>
        <w:tc>
          <w:tcPr>
            <w:tcW w:w="220" w:type="dxa"/>
            <w:vAlign w:val="bottom"/>
            <w:tcBorders>
              <w:bottom w:val="single" w:sz="8" w:color="CCEEFF"/>
            </w:tcBorders>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(801</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129"/>
        </w:trPr>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Occupancy</w:t>
            </w:r>
          </w:p>
        </w:tc>
        <w:tc>
          <w:tcPr>
            <w:tcW w:w="200" w:type="dxa"/>
            <w:vAlign w:val="bottom"/>
          </w:tcPr>
          <w:p>
            <w:pPr>
              <w:spacing w:after="0"/>
              <w:rPr>
                <w:sz w:val="12"/>
                <w:szCs w:val="12"/>
                <w:color w:val="auto"/>
              </w:rPr>
            </w:pPr>
          </w:p>
        </w:tc>
        <w:tc>
          <w:tcPr>
            <w:tcW w:w="8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54.0%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27.1%</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44.6%</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26.2%</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Average daily rate (ADR)</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266.16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216.34</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220.90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209.22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RevPAR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143.60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58.58</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98.46</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54.91</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OtherPAR</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215.97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125.43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139.73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95.24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Total RevPAR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359.57</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184.01</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238.19</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150.15</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5"/>
        </w:trPr>
        <w:tc>
          <w:tcPr>
            <w:tcW w:w="328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Gaylord Texan</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92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rPr>
              <w:t>Revenue</w:t>
            </w:r>
          </w:p>
        </w:tc>
        <w:tc>
          <w:tcPr>
            <w:tcW w:w="2360" w:type="dxa"/>
            <w:vAlign w:val="bottom"/>
            <w:gridSpan w:val="4"/>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71,563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30,117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180,031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line="142" w:lineRule="exact"/>
              <w:rPr>
                <w:sz w:val="20"/>
                <w:szCs w:val="20"/>
                <w:color w:val="auto"/>
              </w:rPr>
            </w:pPr>
            <w:r>
              <w:rPr>
                <w:rFonts w:ascii="Arial" w:cs="Arial" w:eastAsia="Arial" w:hAnsi="Arial"/>
                <w:sz w:val="14"/>
                <w:szCs w:val="14"/>
                <w:color w:val="auto"/>
              </w:rPr>
              <w:t>111,236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Operating income (loss)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17,811</w:t>
            </w:r>
          </w:p>
        </w:tc>
        <w:tc>
          <w:tcPr>
            <w:tcW w:w="100" w:type="dxa"/>
            <w:vAlign w:val="bottom"/>
          </w:tcPr>
          <w:p>
            <w:pPr>
              <w:spacing w:after="0"/>
              <w:rPr>
                <w:sz w:val="12"/>
                <w:szCs w:val="12"/>
                <w:color w:val="auto"/>
              </w:rPr>
            </w:pP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24.9%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(1,122)</w:t>
            </w:r>
          </w:p>
        </w:tc>
        <w:tc>
          <w:tcPr>
            <w:tcW w:w="8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28,948</w:t>
            </w:r>
          </w:p>
        </w:tc>
        <w:tc>
          <w:tcPr>
            <w:tcW w:w="80" w:type="dxa"/>
            <w:vAlign w:val="bottom"/>
          </w:tcPr>
          <w:p>
            <w:pPr>
              <w:spacing w:after="0"/>
              <w:rPr>
                <w:sz w:val="12"/>
                <w:szCs w:val="12"/>
                <w:color w:val="auto"/>
              </w:rPr>
            </w:pPr>
          </w:p>
        </w:tc>
        <w:tc>
          <w:tcPr>
            <w:tcW w:w="9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16.1%</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(5,821)</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r>
      <w:tr>
        <w:trPr>
          <w:trHeight w:val="149"/>
        </w:trPr>
        <w:tc>
          <w:tcPr>
            <w:tcW w:w="3280" w:type="dxa"/>
            <w:vAlign w:val="bottom"/>
            <w:gridSpan w:val="5"/>
            <w:shd w:val="clear" w:color="auto" w:fill="CCEEFF"/>
          </w:tcPr>
          <w:p>
            <w:pPr>
              <w:ind w:left="340"/>
              <w:spacing w:after="0" w:line="149" w:lineRule="exact"/>
              <w:rPr>
                <w:sz w:val="20"/>
                <w:szCs w:val="20"/>
                <w:color w:val="auto"/>
              </w:rPr>
            </w:pPr>
            <w:r>
              <w:rPr>
                <w:rFonts w:ascii="Arial" w:cs="Arial" w:eastAsia="Arial" w:hAnsi="Arial"/>
                <w:sz w:val="14"/>
                <w:szCs w:val="14"/>
                <w:color w:val="auto"/>
              </w:rPr>
              <w:t>Depreciation &amp; amortization</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6,143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6,362</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24,712</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25,546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80" w:type="dxa"/>
            <w:vAlign w:val="bottom"/>
            <w:gridSpan w:val="5"/>
          </w:tcPr>
          <w:p>
            <w:pPr>
              <w:ind w:left="340"/>
              <w:spacing w:after="0" w:line="149" w:lineRule="exact"/>
              <w:rPr>
                <w:sz w:val="20"/>
                <w:szCs w:val="20"/>
                <w:color w:val="auto"/>
              </w:rPr>
            </w:pPr>
            <w:r>
              <w:rPr>
                <w:rFonts w:ascii="Arial" w:cs="Arial" w:eastAsia="Arial" w:hAnsi="Arial"/>
                <w:sz w:val="14"/>
                <w:szCs w:val="14"/>
                <w:color w:val="auto"/>
              </w:rPr>
              <w:t>Loss on disposal of assets</w:t>
            </w:r>
          </w:p>
        </w:tc>
        <w:tc>
          <w:tcPr>
            <w:tcW w:w="20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80" w:type="dxa"/>
            <w:vAlign w:val="bottom"/>
            <w:gridSpan w:val="5"/>
            <w:shd w:val="clear" w:color="auto" w:fill="CCEEFF"/>
          </w:tcPr>
          <w:p>
            <w:pPr>
              <w:ind w:left="340"/>
              <w:spacing w:after="0" w:line="149" w:lineRule="exact"/>
              <w:rPr>
                <w:sz w:val="20"/>
                <w:szCs w:val="20"/>
                <w:color w:val="auto"/>
              </w:rPr>
            </w:pPr>
            <w:r>
              <w:rPr>
                <w:rFonts w:ascii="Arial" w:cs="Arial" w:eastAsia="Arial" w:hAnsi="Arial"/>
                <w:sz w:val="14"/>
                <w:szCs w:val="14"/>
                <w:color w:val="auto"/>
              </w:rPr>
              <w:t>Preopening costs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3280" w:type="dxa"/>
            <w:vAlign w:val="bottom"/>
            <w:gridSpan w:val="5"/>
          </w:tcPr>
          <w:p>
            <w:pPr>
              <w:ind w:left="340"/>
              <w:spacing w:after="0"/>
              <w:rPr>
                <w:sz w:val="20"/>
                <w:szCs w:val="20"/>
                <w:color w:val="auto"/>
              </w:rPr>
            </w:pPr>
            <w:r>
              <w:rPr>
                <w:rFonts w:ascii="Arial" w:cs="Arial" w:eastAsia="Arial" w:hAnsi="Arial"/>
                <w:sz w:val="14"/>
                <w:szCs w:val="14"/>
                <w:color w:val="auto"/>
              </w:rPr>
              <w:t>Impairment charges</w:t>
            </w:r>
          </w:p>
        </w:tc>
        <w:tc>
          <w:tcPr>
            <w:tcW w:w="200" w:type="dxa"/>
            <w:vAlign w:val="bottom"/>
          </w:tcPr>
          <w:p>
            <w:pPr>
              <w:spacing w:after="0"/>
              <w:rPr>
                <w:sz w:val="14"/>
                <w:szCs w:val="14"/>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280" w:type="dxa"/>
            <w:vAlign w:val="bottom"/>
            <w:tcBorders>
              <w:top w:val="single" w:sz="8" w:color="CCEEFF"/>
              <w:bottom w:val="single" w:sz="8" w:color="CCEEFF"/>
            </w:tcBorders>
            <w:gridSpan w:val="5"/>
            <w:shd w:val="clear" w:color="auto" w:fill="CCEEFF"/>
          </w:tcPr>
          <w:p>
            <w:pPr>
              <w:ind w:left="180"/>
              <w:spacing w:after="0" w:line="155"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4"/>
                <w:szCs w:val="14"/>
                <w:b w:val="1"/>
                <w:bCs w:val="1"/>
                <w:i w:val="1"/>
                <w:iCs w:val="1"/>
                <w:color w:val="auto"/>
              </w:rPr>
              <w:t>re</w:t>
            </w: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23,954</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33.5</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5,243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17.4</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53,660</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29.8</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19,728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17.7</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Occupancy</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49.1%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Average daily rate (ADR)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250.13</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219.82</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221.00</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204.38</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RevPAR</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156.51</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63.40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108.52</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59.97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28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OtherPAR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272.30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117.06</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163.39</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107.57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8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Total RevPAR</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428.81</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180.46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271.91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167.54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HOSPITALITY SEGMENT ADJUSTED EBITDA</w:t>
      </w:r>
      <w:r>
        <w:rPr>
          <w:rFonts w:ascii="Arial" w:cs="Arial" w:eastAsia="Arial" w:hAnsi="Arial"/>
          <w:sz w:val="18"/>
          <w:szCs w:val="18"/>
          <w:b w:val="1"/>
          <w:bCs w:val="1"/>
          <w:i w:val="1"/>
          <w:iCs w:val="1"/>
          <w:color w:val="auto"/>
        </w:rPr>
        <w:t>re</w:t>
      </w:r>
      <w:r>
        <w:rPr>
          <w:rFonts w:ascii="Arial" w:cs="Arial" w:eastAsia="Arial" w:hAnsi="Arial"/>
          <w:sz w:val="18"/>
          <w:szCs w:val="18"/>
          <w:b w:val="1"/>
          <w:bCs w:val="1"/>
          <w:color w:val="auto"/>
        </w:rPr>
        <w:t xml:space="preserve"> RECONCILIATIONS AND OPERATING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rPr>
              <w:t>Three Months Ended Dec. 31,</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3"/>
                <w:szCs w:val="13"/>
                <w:b w:val="1"/>
                <w:bCs w:val="1"/>
                <w:color w:val="auto"/>
                <w:w w:val="87"/>
              </w:rPr>
              <w:t>Twelve Months Ended Dec. 31,</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8"/>
              <w:spacing w:after="0" w:line="142" w:lineRule="exact"/>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3"/>
                <w:szCs w:val="13"/>
                <w:b w:val="1"/>
                <w:bCs w:val="1"/>
                <w:color w:val="auto"/>
              </w:rPr>
              <w:t>Margin</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3"/>
                <w:szCs w:val="13"/>
                <w:b w:val="1"/>
                <w:bCs w:val="1"/>
                <w:color w:val="auto"/>
              </w:rPr>
              <w:t>Margin</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3"/>
                <w:szCs w:val="13"/>
                <w:b w:val="1"/>
                <w:bCs w:val="1"/>
                <w:color w:val="auto"/>
              </w:rPr>
              <w:t>Margin</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3"/>
                <w:szCs w:val="13"/>
                <w:b w:val="1"/>
                <w:bCs w:val="1"/>
                <w:color w:val="auto"/>
              </w:rPr>
              <w:t>Margin</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28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Gaylord National</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Revenue</w:t>
            </w:r>
          </w:p>
        </w:tc>
        <w:tc>
          <w:tcPr>
            <w:tcW w:w="2340" w:type="dxa"/>
            <w:vAlign w:val="bottom"/>
            <w:tcBorders>
              <w:top w:val="single" w:sz="8" w:color="CCEEFF"/>
            </w:tcBorders>
            <w:gridSpan w:val="3"/>
          </w:tcPr>
          <w:p>
            <w:pPr>
              <w:spacing w:after="0"/>
              <w:rPr>
                <w:sz w:val="11"/>
                <w:szCs w:val="11"/>
                <w:color w:val="auto"/>
              </w:rPr>
            </w:pPr>
          </w:p>
        </w:tc>
        <w:tc>
          <w:tcPr>
            <w:tcW w:w="200" w:type="dxa"/>
            <w:vAlign w:val="bottom"/>
            <w:tcBorders>
              <w:top w:val="single" w:sz="8" w:color="CCEEFF"/>
            </w:tcBorders>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CCEEFF"/>
            </w:tcBorders>
            <w:gridSpan w:val="2"/>
          </w:tcPr>
          <w:p>
            <w:pPr>
              <w:jc w:val="right"/>
              <w:ind w:right="258"/>
              <w:spacing w:after="0" w:line="129" w:lineRule="exact"/>
              <w:rPr>
                <w:sz w:val="20"/>
                <w:szCs w:val="20"/>
                <w:color w:val="auto"/>
              </w:rPr>
            </w:pPr>
            <w:r>
              <w:rPr>
                <w:rFonts w:ascii="Arial" w:cs="Arial" w:eastAsia="Arial" w:hAnsi="Arial"/>
                <w:sz w:val="13"/>
                <w:szCs w:val="13"/>
                <w:color w:val="auto"/>
              </w:rPr>
              <w:t>39,843</w:t>
            </w:r>
          </w:p>
        </w:tc>
        <w:tc>
          <w:tcPr>
            <w:tcW w:w="74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CCEEFF"/>
            </w:tcBorders>
            <w:gridSpan w:val="2"/>
          </w:tcPr>
          <w:p>
            <w:pPr>
              <w:jc w:val="right"/>
              <w:ind w:right="198"/>
              <w:spacing w:after="0" w:line="129" w:lineRule="exact"/>
              <w:rPr>
                <w:sz w:val="20"/>
                <w:szCs w:val="20"/>
                <w:color w:val="auto"/>
              </w:rPr>
            </w:pPr>
            <w:r>
              <w:rPr>
                <w:rFonts w:ascii="Arial" w:cs="Arial" w:eastAsia="Arial" w:hAnsi="Arial"/>
                <w:sz w:val="13"/>
                <w:szCs w:val="13"/>
                <w:color w:val="auto"/>
              </w:rPr>
              <w:t>1,970</w:t>
            </w: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CCEEFF"/>
            </w:tcBorders>
            <w:gridSpan w:val="2"/>
          </w:tcPr>
          <w:p>
            <w:pPr>
              <w:jc w:val="right"/>
              <w:ind w:right="198"/>
              <w:spacing w:after="0" w:line="129" w:lineRule="exact"/>
              <w:rPr>
                <w:sz w:val="20"/>
                <w:szCs w:val="20"/>
                <w:color w:val="auto"/>
              </w:rPr>
            </w:pPr>
            <w:r>
              <w:rPr>
                <w:rFonts w:ascii="Arial" w:cs="Arial" w:eastAsia="Arial" w:hAnsi="Arial"/>
                <w:sz w:val="13"/>
                <w:szCs w:val="13"/>
                <w:color w:val="auto"/>
              </w:rPr>
              <w:t>79,419</w:t>
            </w:r>
          </w:p>
        </w:tc>
        <w:tc>
          <w:tcPr>
            <w:tcW w:w="7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CCEEFF"/>
            </w:tcBorders>
            <w:gridSpan w:val="2"/>
          </w:tcPr>
          <w:p>
            <w:pPr>
              <w:jc w:val="right"/>
              <w:ind w:right="178"/>
              <w:spacing w:after="0" w:line="129" w:lineRule="exact"/>
              <w:rPr>
                <w:sz w:val="20"/>
                <w:szCs w:val="20"/>
                <w:color w:val="auto"/>
              </w:rPr>
            </w:pPr>
            <w:r>
              <w:rPr>
                <w:rFonts w:ascii="Arial" w:cs="Arial" w:eastAsia="Arial" w:hAnsi="Arial"/>
                <w:sz w:val="13"/>
                <w:szCs w:val="13"/>
                <w:color w:val="auto"/>
              </w:rPr>
              <w:t>52,026</w:t>
            </w: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Operating loss</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gridSpan w:val="2"/>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(9,340)</w:t>
            </w:r>
          </w:p>
        </w:tc>
        <w:tc>
          <w:tcPr>
            <w:tcW w:w="98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-23.4%</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(15,110)</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-767.0%</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(47,448)</w:t>
            </w:r>
          </w:p>
        </w:tc>
        <w:tc>
          <w:tcPr>
            <w:tcW w:w="9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-59.7%</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(94,908)</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-182.4%</w:t>
            </w:r>
          </w:p>
        </w:tc>
        <w:tc>
          <w:tcPr>
            <w:tcW w:w="0" w:type="dxa"/>
            <w:vAlign w:val="bottom"/>
          </w:tcPr>
          <w:p>
            <w:pPr>
              <w:spacing w:after="0"/>
              <w:rPr>
                <w:sz w:val="1"/>
                <w:szCs w:val="1"/>
                <w:color w:val="auto"/>
              </w:rPr>
            </w:pPr>
          </w:p>
        </w:tc>
      </w:tr>
      <w:tr>
        <w:trPr>
          <w:trHeight w:val="135"/>
        </w:trPr>
        <w:tc>
          <w:tcPr>
            <w:tcW w:w="3280" w:type="dxa"/>
            <w:vAlign w:val="bottom"/>
            <w:gridSpan w:val="5"/>
          </w:tcPr>
          <w:p>
            <w:pPr>
              <w:ind w:left="360"/>
              <w:spacing w:after="0" w:line="135" w:lineRule="exact"/>
              <w:rPr>
                <w:sz w:val="20"/>
                <w:szCs w:val="20"/>
                <w:color w:val="auto"/>
              </w:rPr>
            </w:pPr>
            <w:r>
              <w:rPr>
                <w:rFonts w:ascii="Arial" w:cs="Arial" w:eastAsia="Arial" w:hAnsi="Arial"/>
                <w:sz w:val="13"/>
                <w:szCs w:val="13"/>
                <w:color w:val="auto"/>
              </w:rPr>
              <w:t>Depreciation &amp; amortization</w:t>
            </w:r>
          </w:p>
        </w:tc>
        <w:tc>
          <w:tcPr>
            <w:tcW w:w="200" w:type="dxa"/>
            <w:vAlign w:val="bottom"/>
          </w:tcPr>
          <w:p>
            <w:pPr>
              <w:spacing w:after="0"/>
              <w:rPr>
                <w:sz w:val="11"/>
                <w:szCs w:val="11"/>
                <w:color w:val="auto"/>
              </w:rPr>
            </w:pP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8,217</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6,890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30,462</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27,641</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360"/>
              <w:spacing w:after="0" w:line="135" w:lineRule="exact"/>
              <w:rPr>
                <w:sz w:val="20"/>
                <w:szCs w:val="20"/>
                <w:color w:val="auto"/>
              </w:rPr>
            </w:pPr>
            <w:r>
              <w:rPr>
                <w:rFonts w:ascii="Arial" w:cs="Arial" w:eastAsia="Arial" w:hAnsi="Arial"/>
                <w:sz w:val="13"/>
                <w:szCs w:val="13"/>
                <w:color w:val="auto"/>
              </w:rPr>
              <w:t>Loss on disposal of assets</w:t>
            </w:r>
          </w:p>
        </w:tc>
        <w:tc>
          <w:tcPr>
            <w:tcW w:w="200" w:type="dxa"/>
            <w:vAlign w:val="bottom"/>
            <w:shd w:val="clear" w:color="auto" w:fill="CCEEFF"/>
          </w:tcPr>
          <w:p>
            <w:pPr>
              <w:spacing w:after="0"/>
              <w:rPr>
                <w:sz w:val="11"/>
                <w:szCs w:val="11"/>
                <w:color w:val="auto"/>
              </w:rPr>
            </w:pP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360"/>
              <w:spacing w:after="0" w:line="135" w:lineRule="exact"/>
              <w:rPr>
                <w:sz w:val="20"/>
                <w:szCs w:val="20"/>
                <w:color w:val="auto"/>
              </w:rPr>
            </w:pPr>
            <w:r>
              <w:rPr>
                <w:rFonts w:ascii="Arial" w:cs="Arial" w:eastAsia="Arial" w:hAnsi="Arial"/>
                <w:sz w:val="13"/>
                <w:szCs w:val="13"/>
                <w:color w:val="auto"/>
              </w:rPr>
              <w:t>Preopening costs</w:t>
            </w:r>
          </w:p>
        </w:tc>
        <w:tc>
          <w:tcPr>
            <w:tcW w:w="200" w:type="dxa"/>
            <w:vAlign w:val="bottom"/>
          </w:tcPr>
          <w:p>
            <w:pPr>
              <w:spacing w:after="0"/>
              <w:rPr>
                <w:sz w:val="11"/>
                <w:szCs w:val="11"/>
                <w:color w:val="auto"/>
              </w:rPr>
            </w:pP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360"/>
              <w:spacing w:after="0" w:line="135" w:lineRule="exact"/>
              <w:rPr>
                <w:sz w:val="20"/>
                <w:szCs w:val="20"/>
                <w:color w:val="auto"/>
              </w:rPr>
            </w:pPr>
            <w:r>
              <w:rPr>
                <w:rFonts w:ascii="Arial" w:cs="Arial" w:eastAsia="Arial" w:hAnsi="Arial"/>
                <w:sz w:val="13"/>
                <w:szCs w:val="13"/>
                <w:color w:val="auto"/>
              </w:rPr>
              <w:t>Credit loss on held-to-maturity securities</w:t>
            </w:r>
          </w:p>
        </w:tc>
        <w:tc>
          <w:tcPr>
            <w:tcW w:w="200" w:type="dxa"/>
            <w:vAlign w:val="bottom"/>
            <w:shd w:val="clear" w:color="auto" w:fill="CCEEFF"/>
          </w:tcPr>
          <w:p>
            <w:pPr>
              <w:spacing w:after="0"/>
              <w:rPr>
                <w:sz w:val="11"/>
                <w:szCs w:val="11"/>
                <w:color w:val="auto"/>
              </w:rPr>
            </w:pP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32,784</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360"/>
              <w:spacing w:after="0" w:line="135" w:lineRule="exact"/>
              <w:rPr>
                <w:sz w:val="20"/>
                <w:szCs w:val="20"/>
                <w:color w:val="auto"/>
              </w:rPr>
            </w:pPr>
            <w:r>
              <w:rPr>
                <w:rFonts w:ascii="Arial" w:cs="Arial" w:eastAsia="Arial" w:hAnsi="Arial"/>
                <w:sz w:val="13"/>
                <w:szCs w:val="13"/>
                <w:color w:val="auto"/>
              </w:rPr>
              <w:t>Interest income on Gaylord National bonds</w:t>
            </w:r>
          </w:p>
        </w:tc>
        <w:tc>
          <w:tcPr>
            <w:tcW w:w="200" w:type="dxa"/>
            <w:vAlign w:val="bottom"/>
          </w:tcPr>
          <w:p>
            <w:pPr>
              <w:spacing w:after="0"/>
              <w:rPr>
                <w:sz w:val="11"/>
                <w:szCs w:val="11"/>
                <w:color w:val="auto"/>
              </w:rPr>
            </w:pP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1,388</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1,488</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5,502</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6,171</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gridSpan w:val="5"/>
            <w:shd w:val="clear" w:color="auto" w:fill="CCEEFF"/>
          </w:tcPr>
          <w:p>
            <w:pPr>
              <w:ind w:left="360"/>
              <w:spacing w:after="0"/>
              <w:rPr>
                <w:sz w:val="20"/>
                <w:szCs w:val="20"/>
                <w:color w:val="auto"/>
              </w:rPr>
            </w:pPr>
            <w:r>
              <w:rPr>
                <w:rFonts w:ascii="Arial" w:cs="Arial" w:eastAsia="Arial" w:hAnsi="Arial"/>
                <w:sz w:val="13"/>
                <w:szCs w:val="13"/>
                <w:color w:val="auto"/>
              </w:rPr>
              <w:t>Other gains and (losses), net</w:t>
            </w:r>
          </w:p>
        </w:tc>
        <w:tc>
          <w:tcPr>
            <w:tcW w:w="20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25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2,846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gridSpan w:val="5"/>
          </w:tcPr>
          <w:p>
            <w:pPr>
              <w:ind w:left="180"/>
              <w:spacing w:after="0" w:line="142"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3"/>
                <w:szCs w:val="13"/>
                <w:b w:val="1"/>
                <w:bCs w:val="1"/>
                <w:i w:val="1"/>
                <w:iCs w:val="1"/>
                <w:color w:val="auto"/>
              </w:rPr>
              <w:t>re</w:t>
            </w: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265</w:t>
            </w:r>
          </w:p>
        </w:tc>
        <w:tc>
          <w:tcPr>
            <w:tcW w:w="30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0.7</w:t>
            </w:r>
          </w:p>
        </w:tc>
        <w:tc>
          <w:tcPr>
            <w:tcW w:w="240" w:type="dxa"/>
            <w:vAlign w:val="bottom"/>
            <w:tcBorders>
              <w:bottom w:val="single" w:sz="8" w:color="CCEEFF"/>
            </w:tcBorders>
          </w:tcPr>
          <w:p>
            <w:pPr>
              <w:jc w:val="right"/>
              <w:ind w:right="82"/>
              <w:spacing w:after="0"/>
              <w:rPr>
                <w:sz w:val="20"/>
                <w:szCs w:val="20"/>
                <w:color w:val="auto"/>
              </w:rPr>
            </w:pPr>
            <w:r>
              <w:rPr>
                <w:rFonts w:ascii="Arial" w:cs="Arial" w:eastAsia="Arial" w:hAnsi="Arial"/>
                <w:sz w:val="12"/>
                <w:szCs w:val="12"/>
                <w:color w:val="auto"/>
                <w:w w:val="74"/>
              </w:rPr>
              <w:t>%</w:t>
            </w: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(6,711</w:t>
            </w:r>
          </w:p>
        </w:tc>
        <w:tc>
          <w:tcPr>
            <w:tcW w:w="240" w:type="dxa"/>
            <w:vAlign w:val="bottom"/>
            <w:tcBorders>
              <w:bottom w:val="single" w:sz="8" w:color="CCEEFF"/>
            </w:tcBorders>
          </w:tcPr>
          <w:p>
            <w:pPr>
              <w:jc w:val="right"/>
              <w:ind w:right="15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-340.7</w:t>
            </w:r>
          </w:p>
        </w:tc>
        <w:tc>
          <w:tcPr>
            <w:tcW w:w="220" w:type="dxa"/>
            <w:vAlign w:val="bottom"/>
            <w:tcBorders>
              <w:bottom w:val="single" w:sz="8" w:color="CCEEFF"/>
            </w:tcBorders>
          </w:tcPr>
          <w:p>
            <w:pPr>
              <w:jc w:val="right"/>
              <w:ind w:right="37"/>
              <w:spacing w:after="0" w:line="141" w:lineRule="exact"/>
              <w:rPr>
                <w:sz w:val="20"/>
                <w:szCs w:val="20"/>
                <w:color w:val="auto"/>
              </w:rPr>
            </w:pPr>
            <w:r>
              <w:rPr>
                <w:rFonts w:ascii="Arial" w:cs="Arial" w:eastAsia="Arial" w:hAnsi="Arial"/>
                <w:sz w:val="13"/>
                <w:szCs w:val="13"/>
                <w:color w:val="auto"/>
                <w:w w:val="86"/>
              </w:rPr>
              <w:t>%</w:t>
            </w: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(11,484</w:t>
            </w:r>
          </w:p>
        </w:tc>
        <w:tc>
          <w:tcPr>
            <w:tcW w:w="240" w:type="dxa"/>
            <w:vAlign w:val="bottom"/>
            <w:tcBorders>
              <w:bottom w:val="single" w:sz="8" w:color="CCEEFF"/>
            </w:tcBorders>
          </w:tcPr>
          <w:p>
            <w:pPr>
              <w:jc w:val="right"/>
              <w:ind w:right="158"/>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-14.5</w:t>
            </w:r>
          </w:p>
        </w:tc>
        <w:tc>
          <w:tcPr>
            <w:tcW w:w="22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w w:val="74"/>
              </w:rPr>
              <w:t>%</w:t>
            </w: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(25,445</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6"/>
        </w:trPr>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color w:val="auto"/>
              </w:rPr>
              <w:t>Occupancy</w:t>
            </w:r>
          </w:p>
        </w:tc>
        <w:tc>
          <w:tcPr>
            <w:tcW w:w="200" w:type="dxa"/>
            <w:vAlign w:val="bottom"/>
          </w:tcPr>
          <w:p>
            <w:pPr>
              <w:spacing w:after="0"/>
              <w:rPr>
                <w:sz w:val="11"/>
                <w:szCs w:val="11"/>
                <w:color w:val="auto"/>
              </w:rPr>
            </w:pPr>
          </w:p>
        </w:tc>
        <w:tc>
          <w:tcPr>
            <w:tcW w:w="9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31.6%</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0.0%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19.1%</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12.9%</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180"/>
              <w:spacing w:after="0" w:line="135" w:lineRule="exact"/>
              <w:rPr>
                <w:sz w:val="20"/>
                <w:szCs w:val="20"/>
                <w:color w:val="auto"/>
              </w:rPr>
            </w:pPr>
            <w:r>
              <w:rPr>
                <w:rFonts w:ascii="Arial" w:cs="Arial" w:eastAsia="Arial" w:hAnsi="Arial"/>
                <w:sz w:val="13"/>
                <w:szCs w:val="13"/>
                <w:color w:val="auto"/>
              </w:rPr>
              <w:t>Average daily rate (ADR)</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258.49</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230.12</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207.12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color w:val="auto"/>
              </w:rPr>
              <w:t>RevPAR</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81.76</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43.93</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26.74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180"/>
              <w:spacing w:after="0" w:line="135" w:lineRule="exact"/>
              <w:rPr>
                <w:sz w:val="20"/>
                <w:szCs w:val="20"/>
                <w:color w:val="auto"/>
              </w:rPr>
            </w:pPr>
            <w:r>
              <w:rPr>
                <w:rFonts w:ascii="Arial" w:cs="Arial" w:eastAsia="Arial" w:hAnsi="Arial"/>
                <w:sz w:val="13"/>
                <w:szCs w:val="13"/>
                <w:color w:val="auto"/>
              </w:rPr>
              <w:t>OtherPAR</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135.22</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10.73</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65.08</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44.48</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color w:val="auto"/>
              </w:rPr>
              <w:t>Total RevPAR</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216.98</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10.73</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109.01</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71.22</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80" w:type="dxa"/>
            <w:vAlign w:val="bottom"/>
            <w:gridSpan w:val="5"/>
          </w:tcPr>
          <w:p>
            <w:pPr>
              <w:spacing w:after="0" w:line="122" w:lineRule="exact"/>
              <w:rPr>
                <w:sz w:val="20"/>
                <w:szCs w:val="20"/>
                <w:color w:val="auto"/>
              </w:rPr>
            </w:pPr>
            <w:r>
              <w:rPr>
                <w:rFonts w:ascii="Arial" w:cs="Arial" w:eastAsia="Arial" w:hAnsi="Arial"/>
                <w:sz w:val="13"/>
                <w:szCs w:val="13"/>
                <w:b w:val="1"/>
                <w:bCs w:val="1"/>
                <w:color w:val="auto"/>
              </w:rPr>
              <w:t>Gaylord Rockies</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00" w:type="dxa"/>
            <w:vAlign w:val="bottom"/>
            <w:tcBorders>
              <w:top w:val="single" w:sz="8" w:color="auto"/>
            </w:tcBorders>
            <w:shd w:val="clear" w:color="auto" w:fill="CCEEFF"/>
          </w:tcPr>
          <w:p>
            <w:pPr>
              <w:ind w:left="180"/>
              <w:spacing w:after="0" w:line="129" w:lineRule="exact"/>
              <w:rPr>
                <w:sz w:val="20"/>
                <w:szCs w:val="20"/>
                <w:color w:val="auto"/>
              </w:rPr>
            </w:pPr>
            <w:r>
              <w:rPr>
                <w:rFonts w:ascii="Arial" w:cs="Arial" w:eastAsia="Arial" w:hAnsi="Arial"/>
                <w:sz w:val="13"/>
                <w:szCs w:val="13"/>
                <w:b w:val="1"/>
                <w:bCs w:val="1"/>
                <w:color w:val="auto"/>
              </w:rPr>
              <w:t>Revenue</w:t>
            </w:r>
          </w:p>
        </w:tc>
        <w:tc>
          <w:tcPr>
            <w:tcW w:w="2380" w:type="dxa"/>
            <w:vAlign w:val="bottom"/>
            <w:gridSpan w:val="4"/>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gridSpan w:val="2"/>
            <w:shd w:val="clear" w:color="auto" w:fill="CCEEFF"/>
          </w:tcPr>
          <w:p>
            <w:pPr>
              <w:jc w:val="right"/>
              <w:ind w:right="258"/>
              <w:spacing w:after="0" w:line="129" w:lineRule="exact"/>
              <w:rPr>
                <w:sz w:val="20"/>
                <w:szCs w:val="20"/>
                <w:color w:val="auto"/>
              </w:rPr>
            </w:pPr>
            <w:r>
              <w:rPr>
                <w:rFonts w:ascii="Arial" w:cs="Arial" w:eastAsia="Arial" w:hAnsi="Arial"/>
                <w:sz w:val="13"/>
                <w:szCs w:val="13"/>
                <w:color w:val="auto"/>
              </w:rPr>
              <w:t>54,425</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98"/>
              <w:spacing w:after="0" w:line="129" w:lineRule="exact"/>
              <w:rPr>
                <w:sz w:val="20"/>
                <w:szCs w:val="20"/>
                <w:color w:val="auto"/>
              </w:rPr>
            </w:pPr>
            <w:r>
              <w:rPr>
                <w:rFonts w:ascii="Arial" w:cs="Arial" w:eastAsia="Arial" w:hAnsi="Arial"/>
                <w:sz w:val="13"/>
                <w:szCs w:val="13"/>
                <w:color w:val="auto"/>
              </w:rPr>
              <w:t>16,380</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98"/>
              <w:spacing w:after="0" w:line="129" w:lineRule="exact"/>
              <w:rPr>
                <w:sz w:val="20"/>
                <w:szCs w:val="20"/>
                <w:color w:val="auto"/>
              </w:rPr>
            </w:pPr>
            <w:r>
              <w:rPr>
                <w:rFonts w:ascii="Arial" w:cs="Arial" w:eastAsia="Arial" w:hAnsi="Arial"/>
                <w:sz w:val="13"/>
                <w:szCs w:val="13"/>
                <w:color w:val="auto"/>
              </w:rPr>
              <w:t>135,942</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78"/>
              <w:spacing w:after="0" w:line="129" w:lineRule="exact"/>
              <w:rPr>
                <w:sz w:val="20"/>
                <w:szCs w:val="20"/>
                <w:color w:val="auto"/>
              </w:rPr>
            </w:pPr>
            <w:r>
              <w:rPr>
                <w:rFonts w:ascii="Arial" w:cs="Arial" w:eastAsia="Arial" w:hAnsi="Arial"/>
                <w:sz w:val="13"/>
                <w:szCs w:val="13"/>
                <w:color w:val="auto"/>
              </w:rPr>
              <w:t>84,715</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80" w:type="dxa"/>
            <w:vAlign w:val="bottom"/>
            <w:gridSpan w:val="5"/>
          </w:tcPr>
          <w:p>
            <w:pPr>
              <w:ind w:left="180"/>
              <w:spacing w:after="0" w:line="176" w:lineRule="exact"/>
              <w:rPr>
                <w:sz w:val="20"/>
                <w:szCs w:val="20"/>
                <w:color w:val="auto"/>
              </w:rPr>
            </w:pPr>
            <w:r>
              <w:rPr>
                <w:rFonts w:ascii="Arial" w:cs="Arial" w:eastAsia="Arial" w:hAnsi="Arial"/>
                <w:sz w:val="13"/>
                <w:szCs w:val="13"/>
                <w:b w:val="1"/>
                <w:bCs w:val="1"/>
                <w:color w:val="auto"/>
              </w:rPr>
              <w:t xml:space="preserve">Operating loss </w:t>
            </w:r>
            <w:r>
              <w:rPr>
                <w:rFonts w:ascii="Arial" w:cs="Arial" w:eastAsia="Arial" w:hAnsi="Arial"/>
                <w:sz w:val="20"/>
                <w:szCs w:val="20"/>
                <w:b w:val="1"/>
                <w:bCs w:val="1"/>
                <w:color w:val="auto"/>
                <w:vertAlign w:val="superscript"/>
              </w:rPr>
              <w:t>(1)</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18"/>
              <w:spacing w:after="0"/>
              <w:rPr>
                <w:sz w:val="20"/>
                <w:szCs w:val="20"/>
                <w:color w:val="auto"/>
              </w:rPr>
            </w:pPr>
            <w:r>
              <w:rPr>
                <w:rFonts w:ascii="Arial" w:cs="Arial" w:eastAsia="Arial" w:hAnsi="Arial"/>
                <w:sz w:val="13"/>
                <w:szCs w:val="13"/>
                <w:color w:val="auto"/>
              </w:rPr>
              <w:t>(12,334)</w:t>
            </w:r>
          </w:p>
        </w:tc>
        <w:tc>
          <w:tcPr>
            <w:tcW w:w="980" w:type="dxa"/>
            <w:vAlign w:val="bottom"/>
            <w:gridSpan w:val="2"/>
          </w:tcPr>
          <w:p>
            <w:pPr>
              <w:jc w:val="right"/>
              <w:ind w:right="82"/>
              <w:spacing w:after="0"/>
              <w:rPr>
                <w:sz w:val="20"/>
                <w:szCs w:val="20"/>
                <w:color w:val="auto"/>
              </w:rPr>
            </w:pPr>
            <w:r>
              <w:rPr>
                <w:rFonts w:ascii="Arial" w:cs="Arial" w:eastAsia="Arial" w:hAnsi="Arial"/>
                <w:sz w:val="13"/>
                <w:szCs w:val="13"/>
                <w:color w:val="auto"/>
              </w:rPr>
              <w:t>-22.7%</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58"/>
              <w:spacing w:after="0"/>
              <w:rPr>
                <w:sz w:val="20"/>
                <w:szCs w:val="20"/>
                <w:color w:val="auto"/>
              </w:rPr>
            </w:pPr>
            <w:r>
              <w:rPr>
                <w:rFonts w:ascii="Arial" w:cs="Arial" w:eastAsia="Arial" w:hAnsi="Arial"/>
                <w:sz w:val="13"/>
                <w:szCs w:val="13"/>
                <w:color w:val="auto"/>
              </w:rPr>
              <w:t>(25,615)</w:t>
            </w:r>
          </w:p>
        </w:tc>
        <w:tc>
          <w:tcPr>
            <w:tcW w:w="100" w:type="dxa"/>
            <w:vAlign w:val="bottom"/>
          </w:tcPr>
          <w:p>
            <w:pPr>
              <w:spacing w:after="0"/>
              <w:rPr>
                <w:sz w:val="15"/>
                <w:szCs w:val="15"/>
                <w:color w:val="auto"/>
              </w:rPr>
            </w:pPr>
          </w:p>
        </w:tc>
        <w:tc>
          <w:tcPr>
            <w:tcW w:w="900" w:type="dxa"/>
            <w:vAlign w:val="bottom"/>
            <w:gridSpan w:val="2"/>
          </w:tcPr>
          <w:p>
            <w:pPr>
              <w:jc w:val="right"/>
              <w:ind w:right="37"/>
              <w:spacing w:after="0"/>
              <w:rPr>
                <w:sz w:val="20"/>
                <w:szCs w:val="20"/>
                <w:color w:val="auto"/>
              </w:rPr>
            </w:pPr>
            <w:r>
              <w:rPr>
                <w:rFonts w:ascii="Arial" w:cs="Arial" w:eastAsia="Arial" w:hAnsi="Arial"/>
                <w:sz w:val="13"/>
                <w:szCs w:val="13"/>
                <w:color w:val="auto"/>
              </w:rPr>
              <w:t>-156.4%</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58"/>
              <w:spacing w:after="0"/>
              <w:rPr>
                <w:sz w:val="20"/>
                <w:szCs w:val="20"/>
                <w:color w:val="auto"/>
              </w:rPr>
            </w:pPr>
            <w:r>
              <w:rPr>
                <w:rFonts w:ascii="Arial" w:cs="Arial" w:eastAsia="Arial" w:hAnsi="Arial"/>
                <w:sz w:val="13"/>
                <w:szCs w:val="13"/>
                <w:color w:val="auto"/>
              </w:rPr>
              <w:t>(56,034)</w:t>
            </w:r>
          </w:p>
        </w:tc>
        <w:tc>
          <w:tcPr>
            <w:tcW w:w="960" w:type="dxa"/>
            <w:vAlign w:val="bottom"/>
            <w:gridSpan w:val="2"/>
          </w:tcPr>
          <w:p>
            <w:pPr>
              <w:jc w:val="right"/>
              <w:ind w:right="62"/>
              <w:spacing w:after="0"/>
              <w:rPr>
                <w:sz w:val="20"/>
                <w:szCs w:val="20"/>
                <w:color w:val="auto"/>
              </w:rPr>
            </w:pPr>
            <w:r>
              <w:rPr>
                <w:rFonts w:ascii="Arial" w:cs="Arial" w:eastAsia="Arial" w:hAnsi="Arial"/>
                <w:sz w:val="13"/>
                <w:szCs w:val="13"/>
                <w:color w:val="auto"/>
              </w:rPr>
              <w:t>-41.2%</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38"/>
              <w:spacing w:after="0"/>
              <w:rPr>
                <w:sz w:val="20"/>
                <w:szCs w:val="20"/>
                <w:color w:val="auto"/>
              </w:rPr>
            </w:pPr>
            <w:r>
              <w:rPr>
                <w:rFonts w:ascii="Arial" w:cs="Arial" w:eastAsia="Arial" w:hAnsi="Arial"/>
                <w:sz w:val="13"/>
                <w:szCs w:val="13"/>
                <w:color w:val="auto"/>
              </w:rPr>
              <w:t>(79,469)</w:t>
            </w: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-93.8%</w:t>
            </w: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360"/>
              <w:spacing w:after="0" w:line="135" w:lineRule="exact"/>
              <w:rPr>
                <w:sz w:val="20"/>
                <w:szCs w:val="20"/>
                <w:color w:val="auto"/>
              </w:rPr>
            </w:pPr>
            <w:r>
              <w:rPr>
                <w:rFonts w:ascii="Arial" w:cs="Arial" w:eastAsia="Arial" w:hAnsi="Arial"/>
                <w:sz w:val="13"/>
                <w:szCs w:val="13"/>
                <w:color w:val="auto"/>
              </w:rPr>
              <w:t>Depreciation &amp; amortization</w:t>
            </w:r>
          </w:p>
        </w:tc>
        <w:tc>
          <w:tcPr>
            <w:tcW w:w="200" w:type="dxa"/>
            <w:vAlign w:val="bottom"/>
            <w:shd w:val="clear" w:color="auto" w:fill="CCEEFF"/>
          </w:tcPr>
          <w:p>
            <w:pPr>
              <w:spacing w:after="0"/>
              <w:rPr>
                <w:sz w:val="11"/>
                <w:szCs w:val="11"/>
                <w:color w:val="auto"/>
              </w:rPr>
            </w:pP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22,709</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22,636</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90,687</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90,533</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360"/>
              <w:spacing w:after="0" w:line="135" w:lineRule="exact"/>
              <w:rPr>
                <w:sz w:val="20"/>
                <w:szCs w:val="20"/>
                <w:color w:val="auto"/>
              </w:rPr>
            </w:pPr>
            <w:r>
              <w:rPr>
                <w:rFonts w:ascii="Arial" w:cs="Arial" w:eastAsia="Arial" w:hAnsi="Arial"/>
                <w:sz w:val="13"/>
                <w:szCs w:val="13"/>
                <w:color w:val="auto"/>
              </w:rPr>
              <w:t>Loss on disposal of assets</w:t>
            </w:r>
          </w:p>
        </w:tc>
        <w:tc>
          <w:tcPr>
            <w:tcW w:w="200" w:type="dxa"/>
            <w:vAlign w:val="bottom"/>
          </w:tcPr>
          <w:p>
            <w:pPr>
              <w:spacing w:after="0"/>
              <w:rPr>
                <w:sz w:val="11"/>
                <w:szCs w:val="11"/>
                <w:color w:val="auto"/>
              </w:rPr>
            </w:pP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360"/>
              <w:spacing w:after="0" w:line="135" w:lineRule="exact"/>
              <w:rPr>
                <w:sz w:val="20"/>
                <w:szCs w:val="20"/>
                <w:color w:val="auto"/>
              </w:rPr>
            </w:pPr>
            <w:r>
              <w:rPr>
                <w:rFonts w:ascii="Arial" w:cs="Arial" w:eastAsia="Arial" w:hAnsi="Arial"/>
                <w:sz w:val="13"/>
                <w:szCs w:val="13"/>
                <w:color w:val="auto"/>
              </w:rPr>
              <w:t>Preopening costs</w:t>
            </w:r>
          </w:p>
        </w:tc>
        <w:tc>
          <w:tcPr>
            <w:tcW w:w="200" w:type="dxa"/>
            <w:vAlign w:val="bottom"/>
            <w:shd w:val="clear" w:color="auto" w:fill="CCEEFF"/>
          </w:tcPr>
          <w:p>
            <w:pPr>
              <w:spacing w:after="0"/>
              <w:rPr>
                <w:sz w:val="11"/>
                <w:szCs w:val="11"/>
                <w:color w:val="auto"/>
              </w:rPr>
            </w:pP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360"/>
              <w:spacing w:after="0" w:line="135" w:lineRule="exact"/>
              <w:rPr>
                <w:sz w:val="20"/>
                <w:szCs w:val="20"/>
                <w:color w:val="auto"/>
              </w:rPr>
            </w:pPr>
            <w:r>
              <w:rPr>
                <w:rFonts w:ascii="Arial" w:cs="Arial" w:eastAsia="Arial" w:hAnsi="Arial"/>
                <w:sz w:val="13"/>
                <w:szCs w:val="13"/>
                <w:color w:val="auto"/>
              </w:rPr>
              <w:t>Impairment charges</w:t>
            </w:r>
          </w:p>
        </w:tc>
        <w:tc>
          <w:tcPr>
            <w:tcW w:w="200" w:type="dxa"/>
            <w:vAlign w:val="bottom"/>
          </w:tcPr>
          <w:p>
            <w:pPr>
              <w:spacing w:after="0"/>
              <w:rPr>
                <w:sz w:val="11"/>
                <w:szCs w:val="11"/>
                <w:color w:val="auto"/>
              </w:rPr>
            </w:pP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gridSpan w:val="5"/>
            <w:shd w:val="clear" w:color="auto" w:fill="CCEEFF"/>
          </w:tcPr>
          <w:p>
            <w:pPr>
              <w:ind w:left="360"/>
              <w:spacing w:after="0"/>
              <w:rPr>
                <w:sz w:val="20"/>
                <w:szCs w:val="20"/>
                <w:color w:val="auto"/>
              </w:rPr>
            </w:pPr>
            <w:r>
              <w:rPr>
                <w:rFonts w:ascii="Arial" w:cs="Arial" w:eastAsia="Arial" w:hAnsi="Arial"/>
                <w:sz w:val="13"/>
                <w:szCs w:val="13"/>
                <w:color w:val="auto"/>
              </w:rPr>
              <w:t>Transaction costs on acquisitions</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gridSpan w:val="5"/>
            <w:vMerge w:val="restart"/>
          </w:tcPr>
          <w:p>
            <w:pPr>
              <w:ind w:left="180"/>
              <w:spacing w:after="0" w:line="149" w:lineRule="exact"/>
              <w:rPr>
                <w:sz w:val="20"/>
                <w:szCs w:val="20"/>
                <w:color w:val="auto"/>
              </w:rPr>
            </w:pPr>
            <w:r>
              <w:rPr>
                <w:rFonts w:ascii="Arial" w:cs="Arial" w:eastAsia="Arial" w:hAnsi="Arial"/>
                <w:sz w:val="11"/>
                <w:szCs w:val="11"/>
                <w:b w:val="1"/>
                <w:bCs w:val="1"/>
                <w:color w:val="auto"/>
              </w:rPr>
              <w:t>Adjusted EBITDA</w:t>
            </w:r>
            <w:r>
              <w:rPr>
                <w:rFonts w:ascii="Arial" w:cs="Arial" w:eastAsia="Arial" w:hAnsi="Arial"/>
                <w:sz w:val="11"/>
                <w:szCs w:val="11"/>
                <w:b w:val="1"/>
                <w:bCs w:val="1"/>
                <w:i w:val="1"/>
                <w:iCs w:val="1"/>
                <w:color w:val="auto"/>
              </w:rPr>
              <w:t>re</w:t>
            </w:r>
            <w:r>
              <w:rPr>
                <w:rFonts w:ascii="Arial" w:cs="Arial" w:eastAsia="Arial" w:hAnsi="Arial"/>
                <w:sz w:val="11"/>
                <w:szCs w:val="11"/>
                <w:b w:val="1"/>
                <w:bCs w:val="1"/>
                <w:color w:val="auto"/>
              </w:rPr>
              <w:t xml:space="preserve"> </w:t>
            </w:r>
            <w:r>
              <w:rPr>
                <w:rFonts w:ascii="Arial" w:cs="Arial" w:eastAsia="Arial" w:hAnsi="Arial"/>
                <w:sz w:val="17"/>
                <w:szCs w:val="17"/>
                <w:b w:val="1"/>
                <w:bCs w:val="1"/>
                <w:color w:val="auto"/>
                <w:vertAlign w:val="superscript"/>
              </w:rPr>
              <w:t>(1)</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5"/>
            <w:vMerge w:val="continue"/>
          </w:tcPr>
          <w:p>
            <w:pPr>
              <w:spacing w:after="0"/>
              <w:rPr>
                <w:sz w:val="11"/>
                <w:szCs w:val="11"/>
                <w:color w:val="auto"/>
              </w:rPr>
            </w:pP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10,375</w:t>
            </w:r>
          </w:p>
        </w:tc>
        <w:tc>
          <w:tcPr>
            <w:tcW w:w="300" w:type="dxa"/>
            <w:vAlign w:val="bottom"/>
            <w:vMerge w:val="restart"/>
          </w:tcPr>
          <w:p>
            <w:pPr>
              <w:spacing w:after="0"/>
              <w:rPr>
                <w:sz w:val="11"/>
                <w:szCs w:val="11"/>
                <w:color w:val="auto"/>
              </w:rPr>
            </w:pPr>
          </w:p>
        </w:tc>
        <w:tc>
          <w:tcPr>
            <w:tcW w:w="980" w:type="dxa"/>
            <w:vAlign w:val="bottom"/>
            <w:gridSpan w:val="2"/>
          </w:tcPr>
          <w:p>
            <w:pPr>
              <w:jc w:val="right"/>
              <w:ind w:right="82"/>
              <w:spacing w:after="0" w:line="129" w:lineRule="exact"/>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58"/>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220" w:type="dxa"/>
            <w:vAlign w:val="bottom"/>
            <w:vMerge w:val="restart"/>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vMerge w:val="restart"/>
          </w:tcPr>
          <w:p>
            <w:pPr>
              <w:jc w:val="right"/>
              <w:ind w:right="198"/>
              <w:spacing w:after="0"/>
              <w:rPr>
                <w:sz w:val="20"/>
                <w:szCs w:val="20"/>
                <w:color w:val="auto"/>
              </w:rPr>
            </w:pPr>
            <w:r>
              <w:rPr>
                <w:rFonts w:ascii="Arial" w:cs="Arial" w:eastAsia="Arial" w:hAnsi="Arial"/>
                <w:sz w:val="13"/>
                <w:szCs w:val="13"/>
                <w:color w:val="auto"/>
              </w:rPr>
              <w:t>34,728</w:t>
            </w:r>
          </w:p>
        </w:tc>
        <w:tc>
          <w:tcPr>
            <w:tcW w:w="960" w:type="dxa"/>
            <w:vAlign w:val="bottom"/>
            <w:gridSpan w:val="2"/>
          </w:tcPr>
          <w:p>
            <w:pPr>
              <w:jc w:val="right"/>
              <w:ind w:right="62"/>
              <w:spacing w:after="0" w:line="129" w:lineRule="exact"/>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11,064</w:t>
            </w:r>
          </w:p>
        </w:tc>
        <w:tc>
          <w:tcPr>
            <w:tcW w:w="10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80" w:type="dxa"/>
            <w:vAlign w:val="bottom"/>
            <w:gridSpan w:val="2"/>
          </w:tcPr>
          <w:p>
            <w:pPr>
              <w:jc w:val="right"/>
              <w:ind w:right="182"/>
              <w:spacing w:after="0" w:line="54" w:lineRule="exact"/>
              <w:rPr>
                <w:sz w:val="20"/>
                <w:szCs w:val="20"/>
                <w:color w:val="auto"/>
              </w:rPr>
            </w:pPr>
            <w:r>
              <w:rPr>
                <w:rFonts w:ascii="Arial" w:cs="Arial" w:eastAsia="Arial" w:hAnsi="Arial"/>
                <w:sz w:val="6"/>
                <w:szCs w:val="6"/>
                <w:color w:val="auto"/>
              </w:rPr>
              <w:t>19.1</w:t>
            </w:r>
          </w:p>
        </w:tc>
        <w:tc>
          <w:tcPr>
            <w:tcW w:w="200" w:type="dxa"/>
            <w:vAlign w:val="bottom"/>
            <w:vMerge w:val="continue"/>
          </w:tcPr>
          <w:p>
            <w:pPr>
              <w:spacing w:after="0"/>
              <w:rPr>
                <w:sz w:val="8"/>
                <w:szCs w:val="8"/>
                <w:color w:val="auto"/>
              </w:rPr>
            </w:pPr>
          </w:p>
        </w:tc>
        <w:tc>
          <w:tcPr>
            <w:tcW w:w="840" w:type="dxa"/>
            <w:vAlign w:val="bottom"/>
            <w:gridSpan w:val="2"/>
          </w:tcPr>
          <w:p>
            <w:pPr>
              <w:jc w:val="right"/>
              <w:ind w:right="198"/>
              <w:spacing w:after="0" w:line="54" w:lineRule="exact"/>
              <w:rPr>
                <w:sz w:val="20"/>
                <w:szCs w:val="20"/>
                <w:color w:val="auto"/>
              </w:rPr>
            </w:pPr>
            <w:r>
              <w:rPr>
                <w:rFonts w:ascii="Arial" w:cs="Arial" w:eastAsia="Arial" w:hAnsi="Arial"/>
                <w:sz w:val="6"/>
                <w:szCs w:val="6"/>
                <w:color w:val="auto"/>
              </w:rPr>
              <w:t>(2,979</w:t>
            </w:r>
          </w:p>
        </w:tc>
        <w:tc>
          <w:tcPr>
            <w:tcW w:w="100" w:type="dxa"/>
            <w:vAlign w:val="bottom"/>
          </w:tcPr>
          <w:p>
            <w:pPr>
              <w:spacing w:after="0"/>
              <w:rPr>
                <w:sz w:val="8"/>
                <w:szCs w:val="8"/>
                <w:color w:val="auto"/>
              </w:rPr>
            </w:pPr>
          </w:p>
        </w:tc>
        <w:tc>
          <w:tcPr>
            <w:tcW w:w="900" w:type="dxa"/>
            <w:vAlign w:val="bottom"/>
            <w:gridSpan w:val="2"/>
          </w:tcPr>
          <w:p>
            <w:pPr>
              <w:jc w:val="right"/>
              <w:ind w:right="137"/>
              <w:spacing w:after="0" w:line="54" w:lineRule="exact"/>
              <w:rPr>
                <w:sz w:val="20"/>
                <w:szCs w:val="20"/>
                <w:color w:val="auto"/>
              </w:rPr>
            </w:pPr>
            <w:r>
              <w:rPr>
                <w:rFonts w:ascii="Arial" w:cs="Arial" w:eastAsia="Arial" w:hAnsi="Arial"/>
                <w:sz w:val="6"/>
                <w:szCs w:val="6"/>
                <w:color w:val="auto"/>
              </w:rPr>
              <w:t>-18.2</w:t>
            </w:r>
          </w:p>
        </w:tc>
        <w:tc>
          <w:tcPr>
            <w:tcW w:w="2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60" w:type="dxa"/>
            <w:vAlign w:val="bottom"/>
            <w:gridSpan w:val="2"/>
          </w:tcPr>
          <w:p>
            <w:pPr>
              <w:jc w:val="right"/>
              <w:ind w:right="162"/>
              <w:spacing w:after="0" w:line="54" w:lineRule="exact"/>
              <w:rPr>
                <w:sz w:val="20"/>
                <w:szCs w:val="20"/>
                <w:color w:val="auto"/>
              </w:rPr>
            </w:pPr>
            <w:r>
              <w:rPr>
                <w:rFonts w:ascii="Arial" w:cs="Arial" w:eastAsia="Arial" w:hAnsi="Arial"/>
                <w:sz w:val="6"/>
                <w:szCs w:val="6"/>
                <w:color w:val="auto"/>
              </w:rPr>
              <w:t>25.5</w:t>
            </w:r>
          </w:p>
        </w:tc>
        <w:tc>
          <w:tcPr>
            <w:tcW w:w="20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right"/>
              <w:ind w:right="42"/>
              <w:spacing w:after="0" w:line="54" w:lineRule="exact"/>
              <w:rPr>
                <w:sz w:val="20"/>
                <w:szCs w:val="20"/>
                <w:color w:val="auto"/>
              </w:rPr>
            </w:pPr>
            <w:r>
              <w:rPr>
                <w:rFonts w:ascii="Arial" w:cs="Arial" w:eastAsia="Arial" w:hAnsi="Arial"/>
                <w:sz w:val="6"/>
                <w:szCs w:val="6"/>
                <w:color w:val="auto"/>
              </w:rPr>
              <w:t>13.1</w:t>
            </w:r>
          </w:p>
        </w:tc>
        <w:tc>
          <w:tcPr>
            <w:tcW w:w="0" w:type="dxa"/>
            <w:vAlign w:val="bottom"/>
          </w:tcPr>
          <w:p>
            <w:pPr>
              <w:spacing w:after="0"/>
              <w:rPr>
                <w:sz w:val="1"/>
                <w:szCs w:val="1"/>
                <w:color w:val="auto"/>
              </w:rPr>
            </w:pPr>
          </w:p>
        </w:tc>
      </w:tr>
      <w:tr>
        <w:trPr>
          <w:trHeight w:val="115"/>
        </w:trPr>
        <w:tc>
          <w:tcPr>
            <w:tcW w:w="9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righ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righ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color w:val="auto"/>
              </w:rPr>
              <w:t>Occupancy</w:t>
            </w:r>
          </w:p>
        </w:tc>
        <w:tc>
          <w:tcPr>
            <w:tcW w:w="200" w:type="dxa"/>
            <w:vAlign w:val="bottom"/>
          </w:tcPr>
          <w:p>
            <w:pPr>
              <w:spacing w:after="0"/>
              <w:rPr>
                <w:sz w:val="11"/>
                <w:szCs w:val="11"/>
                <w:color w:val="auto"/>
              </w:rPr>
            </w:pPr>
          </w:p>
        </w:tc>
        <w:tc>
          <w:tcPr>
            <w:tcW w:w="9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54.0%</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17.1%</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39.9%</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23.6%</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180"/>
              <w:spacing w:after="0" w:line="135" w:lineRule="exact"/>
              <w:rPr>
                <w:sz w:val="20"/>
                <w:szCs w:val="20"/>
                <w:color w:val="auto"/>
              </w:rPr>
            </w:pPr>
            <w:r>
              <w:rPr>
                <w:rFonts w:ascii="Arial" w:cs="Arial" w:eastAsia="Arial" w:hAnsi="Arial"/>
                <w:sz w:val="13"/>
                <w:szCs w:val="13"/>
                <w:color w:val="auto"/>
              </w:rPr>
              <w:t>Average daily rate (ADR)</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224.13</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175.12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215.17</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192.89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color w:val="auto"/>
              </w:rPr>
              <w:t>RevPAR</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121.06</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29.95</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85.90</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45.58</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180"/>
              <w:spacing w:after="0" w:line="135" w:lineRule="exact"/>
              <w:rPr>
                <w:sz w:val="20"/>
                <w:szCs w:val="20"/>
                <w:color w:val="auto"/>
              </w:rPr>
            </w:pPr>
            <w:r>
              <w:rPr>
                <w:rFonts w:ascii="Arial" w:cs="Arial" w:eastAsia="Arial" w:hAnsi="Arial"/>
                <w:sz w:val="13"/>
                <w:szCs w:val="13"/>
                <w:color w:val="auto"/>
              </w:rPr>
              <w:t>OtherPAR</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273.06</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88.67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162.23</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108.63</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color w:val="auto"/>
              </w:rPr>
              <w:t>Total RevPAR</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394.12</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118.62</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248.13</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154.21</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80" w:type="dxa"/>
            <w:vAlign w:val="bottom"/>
            <w:gridSpan w:val="5"/>
          </w:tcPr>
          <w:p>
            <w:pPr>
              <w:spacing w:after="0" w:line="122" w:lineRule="exact"/>
              <w:rPr>
                <w:sz w:val="20"/>
                <w:szCs w:val="20"/>
                <w:color w:val="auto"/>
              </w:rPr>
            </w:pPr>
            <w:r>
              <w:rPr>
                <w:rFonts w:ascii="Arial" w:cs="Arial" w:eastAsia="Arial" w:hAnsi="Arial"/>
                <w:sz w:val="13"/>
                <w:szCs w:val="13"/>
                <w:b w:val="1"/>
                <w:bCs w:val="1"/>
                <w:color w:val="auto"/>
              </w:rPr>
              <w:t>The AC Hotel at National Harbor</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20" w:type="dxa"/>
            <w:vAlign w:val="bottom"/>
            <w:tcBorders>
              <w:top w:val="single" w:sz="8" w:color="auto"/>
            </w:tcBorders>
            <w:gridSpan w:val="4"/>
            <w:shd w:val="clear" w:color="auto" w:fill="CCEEFF"/>
          </w:tcPr>
          <w:p>
            <w:pPr>
              <w:ind w:left="180"/>
              <w:spacing w:after="0" w:line="129" w:lineRule="exact"/>
              <w:rPr>
                <w:sz w:val="20"/>
                <w:szCs w:val="20"/>
                <w:color w:val="auto"/>
              </w:rPr>
            </w:pPr>
            <w:r>
              <w:rPr>
                <w:rFonts w:ascii="Arial" w:cs="Arial" w:eastAsia="Arial" w:hAnsi="Arial"/>
                <w:sz w:val="13"/>
                <w:szCs w:val="13"/>
                <w:b w:val="1"/>
                <w:bCs w:val="1"/>
                <w:color w:val="auto"/>
              </w:rPr>
              <w:t>Revenue</w:t>
            </w: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gridSpan w:val="2"/>
            <w:shd w:val="clear" w:color="auto" w:fill="CCEEFF"/>
          </w:tcPr>
          <w:p>
            <w:pPr>
              <w:jc w:val="right"/>
              <w:ind w:right="258"/>
              <w:spacing w:after="0" w:line="129" w:lineRule="exact"/>
              <w:rPr>
                <w:sz w:val="20"/>
                <w:szCs w:val="20"/>
                <w:color w:val="auto"/>
              </w:rPr>
            </w:pPr>
            <w:r>
              <w:rPr>
                <w:rFonts w:ascii="Arial" w:cs="Arial" w:eastAsia="Arial" w:hAnsi="Arial"/>
                <w:sz w:val="13"/>
                <w:szCs w:val="13"/>
                <w:color w:val="auto"/>
              </w:rPr>
              <w:t>1,728</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98"/>
              <w:spacing w:after="0" w:line="129" w:lineRule="exact"/>
              <w:rPr>
                <w:sz w:val="20"/>
                <w:szCs w:val="20"/>
                <w:color w:val="auto"/>
              </w:rPr>
            </w:pPr>
            <w:r>
              <w:rPr>
                <w:rFonts w:ascii="Arial" w:cs="Arial" w:eastAsia="Arial" w:hAnsi="Arial"/>
                <w:sz w:val="13"/>
                <w:szCs w:val="13"/>
                <w:color w:val="auto"/>
              </w:rPr>
              <w:t>602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98"/>
              <w:spacing w:after="0" w:line="129" w:lineRule="exact"/>
              <w:rPr>
                <w:sz w:val="20"/>
                <w:szCs w:val="20"/>
                <w:color w:val="auto"/>
              </w:rPr>
            </w:pPr>
            <w:r>
              <w:rPr>
                <w:rFonts w:ascii="Arial" w:cs="Arial" w:eastAsia="Arial" w:hAnsi="Arial"/>
                <w:sz w:val="13"/>
                <w:szCs w:val="13"/>
                <w:color w:val="auto"/>
              </w:rPr>
              <w:t>5,838</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78"/>
              <w:spacing w:after="0" w:line="129" w:lineRule="exact"/>
              <w:rPr>
                <w:sz w:val="20"/>
                <w:szCs w:val="20"/>
                <w:color w:val="auto"/>
              </w:rPr>
            </w:pPr>
            <w:r>
              <w:rPr>
                <w:rFonts w:ascii="Arial" w:cs="Arial" w:eastAsia="Arial" w:hAnsi="Arial"/>
                <w:sz w:val="13"/>
                <w:szCs w:val="13"/>
                <w:color w:val="auto"/>
              </w:rPr>
              <w:t>3,332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b w:val="1"/>
                <w:bCs w:val="1"/>
                <w:color w:val="auto"/>
              </w:rPr>
              <w:t>Operating loss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rPr>
              <w:t>(349)</w:t>
            </w:r>
          </w:p>
        </w:tc>
        <w:tc>
          <w:tcPr>
            <w:tcW w:w="98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-20.2%</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(737)</w:t>
            </w:r>
          </w:p>
        </w:tc>
        <w:tc>
          <w:tcPr>
            <w:tcW w:w="100" w:type="dxa"/>
            <w:vAlign w:val="bottom"/>
          </w:tcPr>
          <w:p>
            <w:pPr>
              <w:spacing w:after="0"/>
              <w:rPr>
                <w:sz w:val="11"/>
                <w:szCs w:val="11"/>
                <w:color w:val="auto"/>
              </w:rPr>
            </w:pP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-122.4%</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(1,631)</w:t>
            </w:r>
          </w:p>
        </w:tc>
        <w:tc>
          <w:tcPr>
            <w:tcW w:w="9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-27.9%</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(2,736)</w:t>
            </w:r>
          </w:p>
        </w:tc>
        <w:tc>
          <w:tcPr>
            <w:tcW w:w="10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-82.1%</w:t>
            </w: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360"/>
              <w:spacing w:after="0" w:line="135" w:lineRule="exact"/>
              <w:rPr>
                <w:sz w:val="20"/>
                <w:szCs w:val="20"/>
                <w:color w:val="auto"/>
              </w:rPr>
            </w:pPr>
            <w:r>
              <w:rPr>
                <w:rFonts w:ascii="Arial" w:cs="Arial" w:eastAsia="Arial" w:hAnsi="Arial"/>
                <w:sz w:val="13"/>
                <w:szCs w:val="13"/>
                <w:color w:val="auto"/>
              </w:rPr>
              <w:t>Depreciation &amp; amortization</w:t>
            </w:r>
          </w:p>
        </w:tc>
        <w:tc>
          <w:tcPr>
            <w:tcW w:w="200" w:type="dxa"/>
            <w:vAlign w:val="bottom"/>
            <w:shd w:val="clear" w:color="auto" w:fill="CCEEFF"/>
          </w:tcPr>
          <w:p>
            <w:pPr>
              <w:spacing w:after="0"/>
              <w:rPr>
                <w:sz w:val="11"/>
                <w:szCs w:val="11"/>
                <w:color w:val="auto"/>
              </w:rPr>
            </w:pP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327</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1,313</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1,323</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360"/>
              <w:spacing w:after="0" w:line="135" w:lineRule="exact"/>
              <w:rPr>
                <w:sz w:val="20"/>
                <w:szCs w:val="20"/>
                <w:color w:val="auto"/>
              </w:rPr>
            </w:pPr>
            <w:r>
              <w:rPr>
                <w:rFonts w:ascii="Arial" w:cs="Arial" w:eastAsia="Arial" w:hAnsi="Arial"/>
                <w:sz w:val="13"/>
                <w:szCs w:val="13"/>
                <w:color w:val="auto"/>
              </w:rPr>
              <w:t>Gain on disposal of assets</w:t>
            </w:r>
          </w:p>
        </w:tc>
        <w:tc>
          <w:tcPr>
            <w:tcW w:w="200" w:type="dxa"/>
            <w:vAlign w:val="bottom"/>
          </w:tcPr>
          <w:p>
            <w:pPr>
              <w:spacing w:after="0"/>
              <w:rPr>
                <w:sz w:val="11"/>
                <w:szCs w:val="11"/>
                <w:color w:val="auto"/>
              </w:rPr>
            </w:pP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gridSpan w:val="5"/>
            <w:shd w:val="clear" w:color="auto" w:fill="CCEEFF"/>
          </w:tcPr>
          <w:p>
            <w:pPr>
              <w:ind w:left="360"/>
              <w:spacing w:after="0"/>
              <w:rPr>
                <w:sz w:val="20"/>
                <w:szCs w:val="20"/>
                <w:color w:val="auto"/>
              </w:rPr>
            </w:pPr>
            <w:r>
              <w:rPr>
                <w:rFonts w:ascii="Arial" w:cs="Arial" w:eastAsia="Arial" w:hAnsi="Arial"/>
                <w:sz w:val="13"/>
                <w:szCs w:val="13"/>
                <w:color w:val="auto"/>
              </w:rPr>
              <w:t>Preopening costs</w:t>
            </w:r>
          </w:p>
        </w:tc>
        <w:tc>
          <w:tcPr>
            <w:tcW w:w="20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25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gridSpan w:val="5"/>
          </w:tcPr>
          <w:p>
            <w:pPr>
              <w:ind w:left="180"/>
              <w:spacing w:after="0" w:line="142"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3"/>
                <w:szCs w:val="13"/>
                <w:b w:val="1"/>
                <w:bCs w:val="1"/>
                <w:i w:val="1"/>
                <w:iCs w:val="1"/>
                <w:color w:val="auto"/>
              </w:rPr>
              <w:t>re</w:t>
            </w: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w:t>
            </w:r>
          </w:p>
        </w:tc>
        <w:tc>
          <w:tcPr>
            <w:tcW w:w="300" w:type="dxa"/>
            <w:vAlign w:val="bottom"/>
            <w:tcBorders>
              <w:bottom w:val="single" w:sz="8" w:color="CCEEFF"/>
            </w:tcBorders>
          </w:tcPr>
          <w:p>
            <w:pPr>
              <w:jc w:val="right"/>
              <w:ind w:right="218"/>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w:t>
            </w:r>
          </w:p>
        </w:tc>
        <w:tc>
          <w:tcPr>
            <w:tcW w:w="240" w:type="dxa"/>
            <w:vAlign w:val="bottom"/>
            <w:tcBorders>
              <w:bottom w:val="single" w:sz="8" w:color="CCEEFF"/>
            </w:tcBorders>
          </w:tcPr>
          <w:p>
            <w:pPr>
              <w:jc w:val="right"/>
              <w:ind w:right="82"/>
              <w:spacing w:after="0"/>
              <w:rPr>
                <w:sz w:val="20"/>
                <w:szCs w:val="20"/>
                <w:color w:val="auto"/>
              </w:rPr>
            </w:pPr>
            <w:r>
              <w:rPr>
                <w:rFonts w:ascii="Arial" w:cs="Arial" w:eastAsia="Arial" w:hAnsi="Arial"/>
                <w:sz w:val="12"/>
                <w:szCs w:val="12"/>
                <w:color w:val="auto"/>
                <w:w w:val="74"/>
              </w:rPr>
              <w:t>%</w:t>
            </w: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(408</w:t>
            </w:r>
          </w:p>
        </w:tc>
        <w:tc>
          <w:tcPr>
            <w:tcW w:w="240" w:type="dxa"/>
            <w:vAlign w:val="bottom"/>
            <w:tcBorders>
              <w:bottom w:val="single" w:sz="8" w:color="CCEEFF"/>
            </w:tcBorders>
          </w:tcPr>
          <w:p>
            <w:pPr>
              <w:jc w:val="right"/>
              <w:ind w:right="15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-67.8</w:t>
            </w:r>
          </w:p>
        </w:tc>
        <w:tc>
          <w:tcPr>
            <w:tcW w:w="220" w:type="dxa"/>
            <w:vAlign w:val="bottom"/>
            <w:tcBorders>
              <w:bottom w:val="single" w:sz="8" w:color="CCEEFF"/>
            </w:tcBorders>
          </w:tcPr>
          <w:p>
            <w:pPr>
              <w:jc w:val="right"/>
              <w:ind w:right="37"/>
              <w:spacing w:after="0" w:line="141" w:lineRule="exact"/>
              <w:rPr>
                <w:sz w:val="20"/>
                <w:szCs w:val="20"/>
                <w:color w:val="auto"/>
              </w:rPr>
            </w:pPr>
            <w:r>
              <w:rPr>
                <w:rFonts w:ascii="Arial" w:cs="Arial" w:eastAsia="Arial" w:hAnsi="Arial"/>
                <w:sz w:val="13"/>
                <w:szCs w:val="13"/>
                <w:color w:val="auto"/>
                <w:w w:val="86"/>
              </w:rPr>
              <w:t>%</w:t>
            </w: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(318</w:t>
            </w:r>
          </w:p>
        </w:tc>
        <w:tc>
          <w:tcPr>
            <w:tcW w:w="240" w:type="dxa"/>
            <w:vAlign w:val="bottom"/>
            <w:tcBorders>
              <w:bottom w:val="single" w:sz="8" w:color="CCEEFF"/>
            </w:tcBorders>
          </w:tcPr>
          <w:p>
            <w:pPr>
              <w:jc w:val="right"/>
              <w:ind w:right="158"/>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-5.4</w:t>
            </w:r>
          </w:p>
        </w:tc>
        <w:tc>
          <w:tcPr>
            <w:tcW w:w="22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w w:val="74"/>
              </w:rPr>
              <w:t>%</w:t>
            </w: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(1,413</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-42.4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5"/>
        </w:trPr>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color w:val="auto"/>
              </w:rPr>
              <w:t>Occupancy</w:t>
            </w:r>
          </w:p>
        </w:tc>
        <w:tc>
          <w:tcPr>
            <w:tcW w:w="200" w:type="dxa"/>
            <w:vAlign w:val="bottom"/>
          </w:tcPr>
          <w:p>
            <w:pPr>
              <w:spacing w:after="0"/>
              <w:rPr>
                <w:sz w:val="11"/>
                <w:szCs w:val="11"/>
                <w:color w:val="auto"/>
              </w:rPr>
            </w:pPr>
          </w:p>
        </w:tc>
        <w:tc>
          <w:tcPr>
            <w:tcW w:w="9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48.3%</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22.5%</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44.5%</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25.2%</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180"/>
              <w:spacing w:after="0" w:line="135" w:lineRule="exact"/>
              <w:rPr>
                <w:sz w:val="20"/>
                <w:szCs w:val="20"/>
                <w:color w:val="auto"/>
              </w:rPr>
            </w:pPr>
            <w:r>
              <w:rPr>
                <w:rFonts w:ascii="Arial" w:cs="Arial" w:eastAsia="Arial" w:hAnsi="Arial"/>
                <w:sz w:val="13"/>
                <w:szCs w:val="13"/>
                <w:color w:val="auto"/>
              </w:rPr>
              <w:t>Average daily rate (ADR)</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177.93</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132.99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167.77</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166.89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color w:val="auto"/>
              </w:rPr>
              <w:t>RevPAR</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85.92</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29.97</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74.73</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42.13</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180"/>
              <w:spacing w:after="0" w:line="135" w:lineRule="exact"/>
              <w:rPr>
                <w:sz w:val="20"/>
                <w:szCs w:val="20"/>
                <w:color w:val="auto"/>
              </w:rPr>
            </w:pPr>
            <w:r>
              <w:rPr>
                <w:rFonts w:ascii="Arial" w:cs="Arial" w:eastAsia="Arial" w:hAnsi="Arial"/>
                <w:sz w:val="13"/>
                <w:szCs w:val="13"/>
                <w:color w:val="auto"/>
              </w:rPr>
              <w:t>OtherPAR</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11.90</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4.12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8.58</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color w:val="auto"/>
              </w:rPr>
              <w:t>Total RevPAR</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97.82</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34.09</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83.31</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47.42</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80" w:type="dxa"/>
            <w:vAlign w:val="bottom"/>
            <w:gridSpan w:val="5"/>
          </w:tcPr>
          <w:p>
            <w:pPr>
              <w:spacing w:after="0" w:line="162" w:lineRule="exact"/>
              <w:rPr>
                <w:sz w:val="20"/>
                <w:szCs w:val="20"/>
                <w:color w:val="auto"/>
              </w:rPr>
            </w:pPr>
            <w:r>
              <w:rPr>
                <w:rFonts w:ascii="Arial" w:cs="Arial" w:eastAsia="Arial" w:hAnsi="Arial"/>
                <w:sz w:val="12"/>
                <w:szCs w:val="12"/>
                <w:b w:val="1"/>
                <w:bCs w:val="1"/>
                <w:color w:val="auto"/>
              </w:rPr>
              <w:t xml:space="preserve">The Inn at Opryland </w:t>
            </w:r>
            <w:r>
              <w:rPr>
                <w:rFonts w:ascii="Arial" w:cs="Arial" w:eastAsia="Arial" w:hAnsi="Arial"/>
                <w:sz w:val="18"/>
                <w:szCs w:val="18"/>
                <w:b w:val="1"/>
                <w:bCs w:val="1"/>
                <w:color w:val="auto"/>
                <w:vertAlign w:val="superscript"/>
              </w:rPr>
              <w:t>(2)</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tcBorders>
              <w:top w:val="single" w:sz="8" w:color="auto"/>
            </w:tcBorders>
            <w:gridSpan w:val="3"/>
            <w:shd w:val="clear" w:color="auto" w:fill="CCEEFF"/>
          </w:tcPr>
          <w:p>
            <w:pPr>
              <w:ind w:left="180"/>
              <w:spacing w:after="0" w:line="129" w:lineRule="exact"/>
              <w:rPr>
                <w:sz w:val="20"/>
                <w:szCs w:val="20"/>
                <w:color w:val="auto"/>
              </w:rPr>
            </w:pPr>
            <w:r>
              <w:rPr>
                <w:rFonts w:ascii="Arial" w:cs="Arial" w:eastAsia="Arial" w:hAnsi="Arial"/>
                <w:sz w:val="13"/>
                <w:szCs w:val="13"/>
                <w:b w:val="1"/>
                <w:bCs w:val="1"/>
                <w:color w:val="auto"/>
              </w:rPr>
              <w:t>Revenue</w:t>
            </w:r>
          </w:p>
        </w:tc>
        <w:tc>
          <w:tcPr>
            <w:tcW w:w="2140" w:type="dxa"/>
            <w:vAlign w:val="bottom"/>
            <w:tcBorders>
              <w:top w:val="single" w:sz="8" w:color="CCEEFF"/>
            </w:tcBorders>
            <w:gridSpan w:val="2"/>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CCEEFF"/>
              <w:right w:val="single" w:sz="8" w:color="CCEEFF"/>
            </w:tcBorders>
            <w:gridSpan w:val="2"/>
            <w:shd w:val="clear" w:color="auto" w:fill="CCEEFF"/>
          </w:tcPr>
          <w:p>
            <w:pPr>
              <w:jc w:val="right"/>
              <w:ind w:right="258"/>
              <w:spacing w:after="0" w:line="129" w:lineRule="exact"/>
              <w:rPr>
                <w:sz w:val="20"/>
                <w:szCs w:val="20"/>
                <w:color w:val="auto"/>
              </w:rPr>
            </w:pPr>
            <w:r>
              <w:rPr>
                <w:rFonts w:ascii="Arial" w:cs="Arial" w:eastAsia="Arial" w:hAnsi="Arial"/>
                <w:sz w:val="13"/>
                <w:szCs w:val="13"/>
                <w:color w:val="auto"/>
              </w:rPr>
              <w:t>2,523</w:t>
            </w:r>
          </w:p>
        </w:tc>
        <w:tc>
          <w:tcPr>
            <w:tcW w:w="7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CCEEFF"/>
            </w:tcBorders>
            <w:gridSpan w:val="2"/>
            <w:shd w:val="clear" w:color="auto" w:fill="CCEEFF"/>
          </w:tcPr>
          <w:p>
            <w:pPr>
              <w:jc w:val="right"/>
              <w:ind w:right="198"/>
              <w:spacing w:after="0" w:line="129" w:lineRule="exact"/>
              <w:rPr>
                <w:sz w:val="20"/>
                <w:szCs w:val="20"/>
                <w:color w:val="auto"/>
              </w:rPr>
            </w:pPr>
            <w:r>
              <w:rPr>
                <w:rFonts w:ascii="Arial" w:cs="Arial" w:eastAsia="Arial" w:hAnsi="Arial"/>
                <w:sz w:val="13"/>
                <w:szCs w:val="13"/>
                <w:color w:val="auto"/>
              </w:rPr>
              <w:t>679</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CCEEFF"/>
              <w:right w:val="single" w:sz="8" w:color="CCEEFF"/>
            </w:tcBorders>
            <w:gridSpan w:val="2"/>
            <w:shd w:val="clear" w:color="auto" w:fill="CCEEFF"/>
          </w:tcPr>
          <w:p>
            <w:pPr>
              <w:jc w:val="right"/>
              <w:ind w:right="198"/>
              <w:spacing w:after="0" w:line="129" w:lineRule="exact"/>
              <w:rPr>
                <w:sz w:val="20"/>
                <w:szCs w:val="20"/>
                <w:color w:val="auto"/>
              </w:rPr>
            </w:pPr>
            <w:r>
              <w:rPr>
                <w:rFonts w:ascii="Arial" w:cs="Arial" w:eastAsia="Arial" w:hAnsi="Arial"/>
                <w:sz w:val="13"/>
                <w:szCs w:val="13"/>
                <w:color w:val="auto"/>
              </w:rPr>
              <w:t>7,656</w:t>
            </w:r>
          </w:p>
        </w:tc>
        <w:tc>
          <w:tcPr>
            <w:tcW w:w="7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CCEEFF"/>
            </w:tcBorders>
            <w:gridSpan w:val="2"/>
            <w:shd w:val="clear" w:color="auto" w:fill="CCEEFF"/>
          </w:tcPr>
          <w:p>
            <w:pPr>
              <w:jc w:val="right"/>
              <w:ind w:right="178"/>
              <w:spacing w:after="0" w:line="129" w:lineRule="exact"/>
              <w:rPr>
                <w:sz w:val="20"/>
                <w:szCs w:val="20"/>
                <w:color w:val="auto"/>
              </w:rPr>
            </w:pPr>
            <w:r>
              <w:rPr>
                <w:rFonts w:ascii="Arial" w:cs="Arial" w:eastAsia="Arial" w:hAnsi="Arial"/>
                <w:sz w:val="13"/>
                <w:szCs w:val="13"/>
                <w:color w:val="auto"/>
              </w:rPr>
              <w:t>3,584</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b w:val="1"/>
                <w:bCs w:val="1"/>
                <w:color w:val="auto"/>
              </w:rPr>
              <w:t>Operating income (loss)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228</w:t>
            </w:r>
          </w:p>
        </w:tc>
        <w:tc>
          <w:tcPr>
            <w:tcW w:w="98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9.0%</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(783)</w:t>
            </w:r>
          </w:p>
        </w:tc>
        <w:tc>
          <w:tcPr>
            <w:tcW w:w="100" w:type="dxa"/>
            <w:vAlign w:val="bottom"/>
          </w:tcPr>
          <w:p>
            <w:pPr>
              <w:spacing w:after="0"/>
              <w:rPr>
                <w:sz w:val="11"/>
                <w:szCs w:val="11"/>
                <w:color w:val="auto"/>
              </w:rPr>
            </w:pP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-115.3%</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(530)</w:t>
            </w:r>
          </w:p>
        </w:tc>
        <w:tc>
          <w:tcPr>
            <w:tcW w:w="9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-6.9%</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(3,310)</w:t>
            </w:r>
          </w:p>
        </w:tc>
        <w:tc>
          <w:tcPr>
            <w:tcW w:w="10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-92.4%</w:t>
            </w: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360"/>
              <w:spacing w:after="0" w:line="135" w:lineRule="exact"/>
              <w:rPr>
                <w:sz w:val="20"/>
                <w:szCs w:val="20"/>
                <w:color w:val="auto"/>
              </w:rPr>
            </w:pPr>
            <w:r>
              <w:rPr>
                <w:rFonts w:ascii="Arial" w:cs="Arial" w:eastAsia="Arial" w:hAnsi="Arial"/>
                <w:sz w:val="13"/>
                <w:szCs w:val="13"/>
                <w:color w:val="auto"/>
              </w:rPr>
              <w:t>Depreciation &amp; amortization</w:t>
            </w:r>
          </w:p>
        </w:tc>
        <w:tc>
          <w:tcPr>
            <w:tcW w:w="200" w:type="dxa"/>
            <w:vAlign w:val="bottom"/>
            <w:shd w:val="clear" w:color="auto" w:fill="CCEEFF"/>
          </w:tcPr>
          <w:p>
            <w:pPr>
              <w:spacing w:after="0"/>
              <w:rPr>
                <w:sz w:val="11"/>
                <w:szCs w:val="11"/>
                <w:color w:val="auto"/>
              </w:rPr>
            </w:pP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317</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1,272</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1,318</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360"/>
              <w:spacing w:after="0" w:line="135" w:lineRule="exact"/>
              <w:rPr>
                <w:sz w:val="20"/>
                <w:szCs w:val="20"/>
                <w:color w:val="auto"/>
              </w:rPr>
            </w:pPr>
            <w:r>
              <w:rPr>
                <w:rFonts w:ascii="Arial" w:cs="Arial" w:eastAsia="Arial" w:hAnsi="Arial"/>
                <w:sz w:val="13"/>
                <w:szCs w:val="13"/>
                <w:color w:val="auto"/>
              </w:rPr>
              <w:t>Loss on disposal of assets</w:t>
            </w:r>
          </w:p>
        </w:tc>
        <w:tc>
          <w:tcPr>
            <w:tcW w:w="200" w:type="dxa"/>
            <w:vAlign w:val="bottom"/>
          </w:tcPr>
          <w:p>
            <w:pPr>
              <w:spacing w:after="0"/>
              <w:rPr>
                <w:sz w:val="11"/>
                <w:szCs w:val="11"/>
                <w:color w:val="auto"/>
              </w:rPr>
            </w:pP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360"/>
              <w:spacing w:after="0" w:line="135" w:lineRule="exact"/>
              <w:rPr>
                <w:sz w:val="20"/>
                <w:szCs w:val="20"/>
                <w:color w:val="auto"/>
              </w:rPr>
            </w:pPr>
            <w:r>
              <w:rPr>
                <w:rFonts w:ascii="Arial" w:cs="Arial" w:eastAsia="Arial" w:hAnsi="Arial"/>
                <w:sz w:val="13"/>
                <w:szCs w:val="13"/>
                <w:color w:val="auto"/>
              </w:rPr>
              <w:t>Preopening costs</w:t>
            </w:r>
          </w:p>
        </w:tc>
        <w:tc>
          <w:tcPr>
            <w:tcW w:w="200" w:type="dxa"/>
            <w:vAlign w:val="bottom"/>
            <w:shd w:val="clear" w:color="auto" w:fill="CCEEFF"/>
          </w:tcPr>
          <w:p>
            <w:pPr>
              <w:spacing w:after="0"/>
              <w:rPr>
                <w:sz w:val="11"/>
                <w:szCs w:val="11"/>
                <w:color w:val="auto"/>
              </w:rPr>
            </w:pP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360"/>
              <w:spacing w:after="0" w:line="135" w:lineRule="exact"/>
              <w:rPr>
                <w:sz w:val="20"/>
                <w:szCs w:val="20"/>
                <w:color w:val="auto"/>
              </w:rPr>
            </w:pPr>
            <w:r>
              <w:rPr>
                <w:rFonts w:ascii="Arial" w:cs="Arial" w:eastAsia="Arial" w:hAnsi="Arial"/>
                <w:sz w:val="13"/>
                <w:szCs w:val="13"/>
                <w:color w:val="auto"/>
              </w:rPr>
              <w:t>Pro rata adjusted EBITDA from joint ventures</w:t>
            </w:r>
          </w:p>
        </w:tc>
        <w:tc>
          <w:tcPr>
            <w:tcW w:w="200" w:type="dxa"/>
            <w:vAlign w:val="bottom"/>
          </w:tcPr>
          <w:p>
            <w:pPr>
              <w:spacing w:after="0"/>
              <w:rPr>
                <w:sz w:val="11"/>
                <w:szCs w:val="11"/>
                <w:color w:val="auto"/>
              </w:rPr>
            </w:pP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gridSpan w:val="5"/>
            <w:shd w:val="clear" w:color="auto" w:fill="CCEEFF"/>
          </w:tcPr>
          <w:p>
            <w:pPr>
              <w:ind w:left="360"/>
              <w:spacing w:after="0"/>
              <w:rPr>
                <w:sz w:val="20"/>
                <w:szCs w:val="20"/>
                <w:color w:val="auto"/>
              </w:rPr>
            </w:pPr>
            <w:r>
              <w:rPr>
                <w:rFonts w:ascii="Arial" w:cs="Arial" w:eastAsia="Arial" w:hAnsi="Arial"/>
                <w:sz w:val="13"/>
                <w:szCs w:val="13"/>
                <w:color w:val="auto"/>
              </w:rPr>
              <w:t>Transaction costs of acquisitions</w:t>
            </w:r>
          </w:p>
        </w:tc>
        <w:tc>
          <w:tcPr>
            <w:tcW w:w="20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25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gridSpan w:val="5"/>
          </w:tcPr>
          <w:p>
            <w:pPr>
              <w:ind w:left="180"/>
              <w:spacing w:after="0" w:line="142"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3"/>
                <w:szCs w:val="13"/>
                <w:b w:val="1"/>
                <w:bCs w:val="1"/>
                <w:i w:val="1"/>
                <w:iCs w:val="1"/>
                <w:color w:val="auto"/>
              </w:rPr>
              <w:t>re</w:t>
            </w: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545</w:t>
            </w:r>
          </w:p>
        </w:tc>
        <w:tc>
          <w:tcPr>
            <w:tcW w:w="30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21.6</w:t>
            </w:r>
          </w:p>
        </w:tc>
        <w:tc>
          <w:tcPr>
            <w:tcW w:w="240" w:type="dxa"/>
            <w:vAlign w:val="bottom"/>
            <w:tcBorders>
              <w:bottom w:val="single" w:sz="8" w:color="CCEEFF"/>
            </w:tcBorders>
          </w:tcPr>
          <w:p>
            <w:pPr>
              <w:jc w:val="right"/>
              <w:ind w:right="82"/>
              <w:spacing w:after="0"/>
              <w:rPr>
                <w:sz w:val="20"/>
                <w:szCs w:val="20"/>
                <w:color w:val="auto"/>
              </w:rPr>
            </w:pPr>
            <w:r>
              <w:rPr>
                <w:rFonts w:ascii="Arial" w:cs="Arial" w:eastAsia="Arial" w:hAnsi="Arial"/>
                <w:sz w:val="12"/>
                <w:szCs w:val="12"/>
                <w:color w:val="auto"/>
                <w:w w:val="74"/>
              </w:rPr>
              <w:t>%</w:t>
            </w: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(448</w:t>
            </w:r>
          </w:p>
        </w:tc>
        <w:tc>
          <w:tcPr>
            <w:tcW w:w="240" w:type="dxa"/>
            <w:vAlign w:val="bottom"/>
            <w:tcBorders>
              <w:bottom w:val="single" w:sz="8" w:color="CCEEFF"/>
            </w:tcBorders>
          </w:tcPr>
          <w:p>
            <w:pPr>
              <w:jc w:val="right"/>
              <w:ind w:right="15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-66.0</w:t>
            </w:r>
          </w:p>
        </w:tc>
        <w:tc>
          <w:tcPr>
            <w:tcW w:w="220" w:type="dxa"/>
            <w:vAlign w:val="bottom"/>
            <w:tcBorders>
              <w:bottom w:val="single" w:sz="8" w:color="CCEEFF"/>
            </w:tcBorders>
          </w:tcPr>
          <w:p>
            <w:pPr>
              <w:jc w:val="right"/>
              <w:ind w:right="37"/>
              <w:spacing w:after="0" w:line="141" w:lineRule="exact"/>
              <w:rPr>
                <w:sz w:val="20"/>
                <w:szCs w:val="20"/>
                <w:color w:val="auto"/>
              </w:rPr>
            </w:pPr>
            <w:r>
              <w:rPr>
                <w:rFonts w:ascii="Arial" w:cs="Arial" w:eastAsia="Arial" w:hAnsi="Arial"/>
                <w:sz w:val="13"/>
                <w:szCs w:val="13"/>
                <w:color w:val="auto"/>
                <w:w w:val="86"/>
              </w:rPr>
              <w:t>%</w:t>
            </w: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742</w:t>
            </w:r>
          </w:p>
        </w:tc>
        <w:tc>
          <w:tcPr>
            <w:tcW w:w="24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9.7</w:t>
            </w:r>
          </w:p>
        </w:tc>
        <w:tc>
          <w:tcPr>
            <w:tcW w:w="22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w w:val="74"/>
              </w:rPr>
              <w:t>%</w:t>
            </w: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(1,992</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-55.6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5"/>
        </w:trPr>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color w:val="auto"/>
              </w:rPr>
              <w:t>Occupancy</w:t>
            </w:r>
          </w:p>
        </w:tc>
        <w:tc>
          <w:tcPr>
            <w:tcW w:w="200" w:type="dxa"/>
            <w:vAlign w:val="bottom"/>
          </w:tcPr>
          <w:p>
            <w:pPr>
              <w:spacing w:after="0"/>
              <w:rPr>
                <w:sz w:val="11"/>
                <w:szCs w:val="11"/>
                <w:color w:val="auto"/>
              </w:rPr>
            </w:pPr>
          </w:p>
        </w:tc>
        <w:tc>
          <w:tcPr>
            <w:tcW w:w="9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50.6%</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19.2%</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41.2%</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19.7%</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180"/>
              <w:spacing w:after="0" w:line="135" w:lineRule="exact"/>
              <w:rPr>
                <w:sz w:val="20"/>
                <w:szCs w:val="20"/>
                <w:color w:val="auto"/>
              </w:rPr>
            </w:pPr>
            <w:r>
              <w:rPr>
                <w:rFonts w:ascii="Arial" w:cs="Arial" w:eastAsia="Arial" w:hAnsi="Arial"/>
                <w:sz w:val="13"/>
                <w:szCs w:val="13"/>
                <w:color w:val="auto"/>
              </w:rPr>
              <w:t>Average daily rate (ADR)</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136.40</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100.96</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134.70</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120.93</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tcPr>
          <w:p>
            <w:pPr>
              <w:ind w:left="180"/>
              <w:spacing w:after="0" w:line="135" w:lineRule="exact"/>
              <w:rPr>
                <w:sz w:val="20"/>
                <w:szCs w:val="20"/>
                <w:color w:val="auto"/>
              </w:rPr>
            </w:pPr>
            <w:r>
              <w:rPr>
                <w:rFonts w:ascii="Arial" w:cs="Arial" w:eastAsia="Arial" w:hAnsi="Arial"/>
                <w:sz w:val="13"/>
                <w:szCs w:val="13"/>
                <w:color w:val="auto"/>
              </w:rPr>
              <w:t>RevPAR</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68.95</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19.40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55.53</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23.81</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5"/>
            <w:shd w:val="clear" w:color="auto" w:fill="CCEEFF"/>
          </w:tcPr>
          <w:p>
            <w:pPr>
              <w:ind w:left="180"/>
              <w:spacing w:after="0" w:line="135" w:lineRule="exact"/>
              <w:rPr>
                <w:sz w:val="20"/>
                <w:szCs w:val="20"/>
                <w:color w:val="auto"/>
              </w:rPr>
            </w:pPr>
            <w:r>
              <w:rPr>
                <w:rFonts w:ascii="Arial" w:cs="Arial" w:eastAsia="Arial" w:hAnsi="Arial"/>
                <w:sz w:val="13"/>
                <w:szCs w:val="13"/>
                <w:color w:val="auto"/>
              </w:rPr>
              <w:t>OtherPAR</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21.52</w:t>
            </w: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13.69</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280" w:type="dxa"/>
            <w:vAlign w:val="bottom"/>
            <w:gridSpan w:val="5"/>
          </w:tcPr>
          <w:p>
            <w:pPr>
              <w:ind w:left="180"/>
              <w:spacing w:after="0"/>
              <w:rPr>
                <w:sz w:val="20"/>
                <w:szCs w:val="20"/>
                <w:color w:val="auto"/>
              </w:rPr>
            </w:pPr>
            <w:r>
              <w:rPr>
                <w:rFonts w:ascii="Arial" w:cs="Arial" w:eastAsia="Arial" w:hAnsi="Arial"/>
                <w:sz w:val="13"/>
                <w:szCs w:val="13"/>
                <w:color w:val="auto"/>
              </w:rPr>
              <w:t>Total RevPAR</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58"/>
              <w:spacing w:after="0"/>
              <w:rPr>
                <w:sz w:val="20"/>
                <w:szCs w:val="20"/>
                <w:color w:val="auto"/>
              </w:rPr>
            </w:pPr>
            <w:r>
              <w:rPr>
                <w:rFonts w:ascii="Arial" w:cs="Arial" w:eastAsia="Arial" w:hAnsi="Arial"/>
                <w:sz w:val="13"/>
                <w:szCs w:val="13"/>
                <w:color w:val="auto"/>
              </w:rPr>
              <w:t>90.47</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98"/>
              <w:spacing w:after="0"/>
              <w:rPr>
                <w:sz w:val="20"/>
                <w:szCs w:val="20"/>
                <w:color w:val="auto"/>
              </w:rPr>
            </w:pPr>
            <w:r>
              <w:rPr>
                <w:rFonts w:ascii="Arial" w:cs="Arial" w:eastAsia="Arial" w:hAnsi="Arial"/>
                <w:sz w:val="13"/>
                <w:szCs w:val="13"/>
                <w:color w:val="auto"/>
              </w:rPr>
              <w:t>24.29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98"/>
              <w:spacing w:after="0"/>
              <w:rPr>
                <w:sz w:val="20"/>
                <w:szCs w:val="20"/>
                <w:color w:val="auto"/>
              </w:rPr>
            </w:pPr>
            <w:r>
              <w:rPr>
                <w:rFonts w:ascii="Arial" w:cs="Arial" w:eastAsia="Arial" w:hAnsi="Arial"/>
                <w:sz w:val="13"/>
                <w:szCs w:val="13"/>
                <w:color w:val="auto"/>
              </w:rPr>
              <w:t>69.22</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78"/>
              <w:spacing w:after="0"/>
              <w:rPr>
                <w:sz w:val="20"/>
                <w:szCs w:val="20"/>
                <w:color w:val="auto"/>
              </w:rPr>
            </w:pPr>
            <w:r>
              <w:rPr>
                <w:rFonts w:ascii="Arial" w:cs="Arial" w:eastAsia="Arial" w:hAnsi="Arial"/>
                <w:sz w:val="13"/>
                <w:szCs w:val="13"/>
                <w:color w:val="auto"/>
              </w:rPr>
              <w:t>32.31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340" w:hanging="332"/>
        <w:spacing w:after="0" w:line="286"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Operating loss and Adjusted EBITDAre for Gaylord Rockies for the twelve months ended December 31, 2021 exclude forgiven asset management fees previously owed to RHP of $0.3 million.Operating loss and Adjusted EBITDAre for Gaylord Rockies for the three months and twelve months ended December 31, 2020 exclude asset management fees owed to RHP of $0.2 million and $0.8 million, respectively.</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other hospitality revenue and expense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2022-02-25T06:31:03Z</dcterms:created>
  <dcterms:modified xsi:type="dcterms:W3CDTF">2022-02-25T06:31:03Z</dcterms:modified>
</cp:coreProperties>
</file>